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0C" w:rsidRPr="000908F7" w:rsidRDefault="0021130C" w:rsidP="0021130C">
      <w:pPr>
        <w:widowControl/>
        <w:autoSpaceDE/>
        <w:adjustRightInd/>
        <w:jc w:val="center"/>
        <w:rPr>
          <w:rFonts w:ascii="Tahoma" w:eastAsia="Times New Roman" w:hAnsi="Tahoma" w:cs="Tahoma"/>
          <w:b/>
          <w:bCs/>
          <w:sz w:val="32"/>
          <w:lang w:eastAsia="en-US"/>
        </w:rPr>
      </w:pPr>
      <w:r w:rsidRPr="000908F7">
        <w:rPr>
          <w:rFonts w:ascii="Tahoma" w:eastAsia="Times New Roman" w:hAnsi="Tahoma" w:cs="Tahoma"/>
          <w:b/>
          <w:bCs/>
          <w:sz w:val="32"/>
          <w:lang w:eastAsia="en-US"/>
        </w:rPr>
        <w:t>REPUBLIQUE ISLAMIQUE  DE  MAURITANIE</w:t>
      </w:r>
    </w:p>
    <w:p w:rsidR="0021130C" w:rsidRPr="000908F7" w:rsidRDefault="0021130C" w:rsidP="0021130C">
      <w:pPr>
        <w:widowControl/>
        <w:autoSpaceDE/>
        <w:adjustRightInd/>
        <w:jc w:val="center"/>
        <w:rPr>
          <w:rFonts w:ascii="Tahoma" w:eastAsia="Times New Roman" w:hAnsi="Tahoma" w:cs="Tahoma"/>
          <w:b/>
          <w:bCs/>
          <w:i/>
          <w:iCs/>
          <w:sz w:val="24"/>
          <w:lang w:eastAsia="en-US"/>
        </w:rPr>
      </w:pPr>
      <w:r w:rsidRPr="000908F7">
        <w:rPr>
          <w:rFonts w:ascii="Tahoma" w:eastAsia="Times New Roman" w:hAnsi="Tahoma" w:cs="Tahoma"/>
          <w:b/>
          <w:bCs/>
          <w:i/>
          <w:iCs/>
          <w:sz w:val="24"/>
          <w:lang w:eastAsia="en-US"/>
        </w:rPr>
        <w:t>Honneur- Fraternité- Justice</w:t>
      </w:r>
    </w:p>
    <w:p w:rsidR="0021130C" w:rsidRPr="000908F7" w:rsidRDefault="0021130C" w:rsidP="0021130C">
      <w:pPr>
        <w:widowControl/>
        <w:autoSpaceDE/>
        <w:adjustRightInd/>
        <w:jc w:val="center"/>
        <w:rPr>
          <w:rFonts w:ascii="Tahoma" w:eastAsia="Times New Roman" w:hAnsi="Tahoma" w:cs="Tahoma"/>
          <w:sz w:val="24"/>
          <w:lang w:eastAsia="en-US"/>
        </w:rPr>
      </w:pPr>
    </w:p>
    <w:p w:rsidR="0021130C" w:rsidRPr="000908F7" w:rsidRDefault="0021130C" w:rsidP="0021130C">
      <w:pPr>
        <w:widowControl/>
        <w:autoSpaceDE/>
        <w:adjustRightInd/>
        <w:jc w:val="center"/>
        <w:rPr>
          <w:rFonts w:ascii="Tahoma" w:eastAsia="Times New Roman" w:hAnsi="Tahoma" w:cs="Tahoma"/>
          <w:sz w:val="24"/>
          <w:lang w:eastAsia="en-US"/>
        </w:rPr>
      </w:pPr>
    </w:p>
    <w:p w:rsidR="0021130C" w:rsidRPr="000908F7" w:rsidRDefault="0021130C" w:rsidP="0021130C">
      <w:pPr>
        <w:widowControl/>
        <w:autoSpaceDE/>
        <w:adjustRightInd/>
        <w:jc w:val="center"/>
        <w:rPr>
          <w:rFonts w:ascii="Tahoma" w:eastAsia="Times New Roman" w:hAnsi="Tahoma" w:cs="Tahoma"/>
          <w:b/>
          <w:smallCaps/>
          <w:sz w:val="32"/>
          <w:lang w:eastAsia="en-US"/>
        </w:rPr>
      </w:pPr>
      <w:r w:rsidRPr="000908F7">
        <w:rPr>
          <w:rFonts w:ascii="Tahoma" w:eastAsia="Times New Roman" w:hAnsi="Tahoma" w:cs="Tahoma"/>
          <w:b/>
          <w:smallCaps/>
          <w:sz w:val="32"/>
          <w:lang w:eastAsia="en-US"/>
        </w:rPr>
        <w:t xml:space="preserve">Projet de  programme pour une infrastructure de communications </w:t>
      </w:r>
      <w:proofErr w:type="spellStart"/>
      <w:r w:rsidRPr="000908F7">
        <w:rPr>
          <w:rFonts w:ascii="Tahoma" w:eastAsia="Times New Roman" w:hAnsi="Tahoma" w:cs="Tahoma"/>
          <w:b/>
          <w:smallCaps/>
          <w:sz w:val="32"/>
          <w:lang w:eastAsia="en-US"/>
        </w:rPr>
        <w:t>regionale</w:t>
      </w:r>
      <w:proofErr w:type="spellEnd"/>
      <w:r w:rsidRPr="000908F7">
        <w:rPr>
          <w:rFonts w:ascii="Tahoma" w:eastAsia="Times New Roman" w:hAnsi="Tahoma" w:cs="Tahoma"/>
          <w:b/>
          <w:smallCaps/>
          <w:sz w:val="32"/>
          <w:lang w:eastAsia="en-US"/>
        </w:rPr>
        <w:t xml:space="preserve"> en </w:t>
      </w:r>
      <w:proofErr w:type="spellStart"/>
      <w:r w:rsidRPr="000908F7">
        <w:rPr>
          <w:rFonts w:ascii="Tahoma" w:eastAsia="Times New Roman" w:hAnsi="Tahoma" w:cs="Tahoma"/>
          <w:b/>
          <w:smallCaps/>
          <w:sz w:val="32"/>
          <w:lang w:eastAsia="en-US"/>
        </w:rPr>
        <w:t>afrique</w:t>
      </w:r>
      <w:proofErr w:type="spellEnd"/>
      <w:r w:rsidRPr="000908F7">
        <w:rPr>
          <w:rFonts w:ascii="Tahoma" w:eastAsia="Times New Roman" w:hAnsi="Tahoma" w:cs="Tahoma"/>
          <w:b/>
          <w:smallCaps/>
          <w:sz w:val="32"/>
          <w:lang w:eastAsia="en-US"/>
        </w:rPr>
        <w:t xml:space="preserve"> de  l’oust</w:t>
      </w:r>
    </w:p>
    <w:p w:rsidR="0021130C" w:rsidRPr="000908F7" w:rsidRDefault="0021130C" w:rsidP="0021130C">
      <w:pPr>
        <w:widowControl/>
        <w:autoSpaceDE/>
        <w:adjustRightInd/>
        <w:jc w:val="center"/>
        <w:rPr>
          <w:rFonts w:ascii="Tahoma" w:eastAsia="Times New Roman" w:hAnsi="Tahoma" w:cs="Tahoma"/>
          <w:b/>
          <w:smallCaps/>
          <w:sz w:val="32"/>
          <w:lang w:eastAsia="en-US"/>
        </w:rPr>
      </w:pPr>
      <w:r w:rsidRPr="000908F7">
        <w:rPr>
          <w:rFonts w:ascii="Tahoma" w:eastAsia="Times New Roman" w:hAnsi="Tahoma" w:cs="Tahoma"/>
          <w:b/>
          <w:smallCaps/>
          <w:sz w:val="32"/>
          <w:lang w:eastAsia="en-US"/>
        </w:rPr>
        <w:t>(WARCIP)</w:t>
      </w:r>
    </w:p>
    <w:p w:rsidR="0021130C" w:rsidRPr="000908F7" w:rsidRDefault="0021130C" w:rsidP="000908F7">
      <w:pPr>
        <w:widowControl/>
        <w:autoSpaceDE/>
        <w:adjustRightInd/>
        <w:jc w:val="center"/>
        <w:rPr>
          <w:rFonts w:ascii="Tahoma" w:eastAsia="Times New Roman" w:hAnsi="Tahoma" w:cs="Tahoma"/>
          <w:b/>
          <w:smallCaps/>
          <w:sz w:val="32"/>
          <w:lang w:eastAsia="en-US"/>
        </w:rPr>
      </w:pPr>
      <w:r w:rsidRPr="000908F7">
        <w:rPr>
          <w:rFonts w:ascii="Tahoma" w:eastAsia="Times New Roman" w:hAnsi="Tahoma" w:cs="Tahoma"/>
          <w:b/>
          <w:smallCaps/>
          <w:sz w:val="32"/>
          <w:lang w:eastAsia="en-US"/>
        </w:rPr>
        <w:t>Unité de Coordination du Projet</w:t>
      </w:r>
    </w:p>
    <w:p w:rsidR="0021130C" w:rsidRPr="000908F7" w:rsidRDefault="0021130C" w:rsidP="0021130C">
      <w:pPr>
        <w:widowControl/>
        <w:autoSpaceDE/>
        <w:adjustRightInd/>
        <w:rPr>
          <w:rFonts w:ascii="Tahoma" w:eastAsia="Times New Roman" w:hAnsi="Tahoma" w:cs="Tahoma"/>
          <w:b/>
          <w:smallCaps/>
          <w:sz w:val="32"/>
          <w:lang w:eastAsia="en-US"/>
        </w:rPr>
      </w:pPr>
    </w:p>
    <w:p w:rsidR="00905CC9" w:rsidRDefault="0021130C" w:rsidP="0021130C">
      <w:pPr>
        <w:widowControl/>
        <w:autoSpaceDE/>
        <w:adjustRightInd/>
        <w:jc w:val="center"/>
        <w:rPr>
          <w:rStyle w:val="lev"/>
          <w:rFonts w:ascii="Tahoma" w:hAnsi="Tahoma" w:cs="Tahoma"/>
          <w:sz w:val="24"/>
          <w:szCs w:val="24"/>
        </w:rPr>
      </w:pPr>
      <w:r w:rsidRPr="000908F7">
        <w:rPr>
          <w:rStyle w:val="lev"/>
          <w:rFonts w:ascii="Tahoma" w:hAnsi="Tahoma" w:cs="Tahoma"/>
          <w:sz w:val="24"/>
          <w:szCs w:val="24"/>
        </w:rPr>
        <w:t xml:space="preserve">   </w:t>
      </w:r>
    </w:p>
    <w:p w:rsidR="00905CC9" w:rsidRDefault="0021130C" w:rsidP="0021130C">
      <w:pPr>
        <w:widowControl/>
        <w:autoSpaceDE/>
        <w:adjustRightInd/>
        <w:jc w:val="center"/>
        <w:rPr>
          <w:rFonts w:ascii="Tahoma" w:eastAsia="Times New Roman" w:hAnsi="Tahoma" w:cs="Tahoma"/>
          <w:bCs/>
          <w:smallCaps/>
          <w:sz w:val="24"/>
          <w:szCs w:val="24"/>
          <w:lang w:eastAsia="en-US"/>
        </w:rPr>
      </w:pPr>
      <w:r w:rsidRPr="000908F7">
        <w:rPr>
          <w:rFonts w:ascii="Tahoma" w:eastAsia="Times New Roman" w:hAnsi="Tahoma" w:cs="Tahoma"/>
          <w:bCs/>
          <w:smallCaps/>
          <w:sz w:val="24"/>
          <w:szCs w:val="24"/>
          <w:lang w:eastAsia="en-US"/>
        </w:rPr>
        <w:t xml:space="preserve">AVIS DE MANIFESTATION D'INTERET </w:t>
      </w:r>
    </w:p>
    <w:p w:rsidR="00905CC9" w:rsidRPr="00905CC9" w:rsidRDefault="00905CC9" w:rsidP="00905CC9">
      <w:pPr>
        <w:widowControl/>
        <w:autoSpaceDE/>
        <w:autoSpaceDN/>
        <w:adjustRightInd/>
        <w:jc w:val="center"/>
        <w:rPr>
          <w:rFonts w:ascii="Times New Roman Bold" w:eastAsia="Times New Roman" w:hAnsi="Times New Roman Bold"/>
          <w:bCs/>
          <w:smallCaps/>
          <w:sz w:val="28"/>
          <w:szCs w:val="28"/>
          <w:lang w:eastAsia="en-US"/>
        </w:rPr>
      </w:pPr>
      <w:r>
        <w:rPr>
          <w:rFonts w:ascii="Times New Roman Bold" w:eastAsia="Times New Roman" w:hAnsi="Times New Roman Bold"/>
          <w:bCs/>
          <w:smallCaps/>
          <w:sz w:val="28"/>
          <w:szCs w:val="28"/>
          <w:lang w:eastAsia="en-US"/>
        </w:rPr>
        <w:t xml:space="preserve">     </w:t>
      </w:r>
    </w:p>
    <w:p w:rsidR="00905CC9" w:rsidRDefault="00905CC9" w:rsidP="0021130C">
      <w:pPr>
        <w:jc w:val="both"/>
        <w:rPr>
          <w:rFonts w:ascii="Tahoma" w:eastAsia="Times New Roman" w:hAnsi="Tahoma" w:cs="Tahoma"/>
          <w:b/>
          <w:bCs/>
          <w:smallCaps/>
          <w:sz w:val="22"/>
          <w:szCs w:val="22"/>
          <w:lang w:eastAsia="en-US"/>
        </w:rPr>
      </w:pPr>
    </w:p>
    <w:p w:rsidR="0021130C" w:rsidRPr="000908F7" w:rsidRDefault="0021130C" w:rsidP="0021130C">
      <w:pPr>
        <w:jc w:val="both"/>
        <w:rPr>
          <w:rFonts w:ascii="Times New Roman" w:eastAsia="Times New Roman" w:hAnsi="Times New Roman" w:cs="Times New Roman"/>
          <w:b/>
          <w:bCs/>
          <w:smallCaps/>
          <w:sz w:val="22"/>
          <w:szCs w:val="22"/>
          <w:lang w:eastAsia="en-US"/>
        </w:rPr>
      </w:pPr>
      <w:r w:rsidRPr="000908F7">
        <w:rPr>
          <w:rFonts w:ascii="Tahoma" w:eastAsia="Times New Roman" w:hAnsi="Tahoma" w:cs="Tahoma"/>
          <w:b/>
          <w:bCs/>
          <w:smallCaps/>
          <w:sz w:val="22"/>
          <w:szCs w:val="22"/>
          <w:lang w:eastAsia="en-US"/>
        </w:rPr>
        <w:t>pour le développement des modèles de coûts pour la détermination des couts et tarifs de l’interconnexion fixe et mobile, de la bande passante nationale et internationale, des services d’</w:t>
      </w:r>
      <w:r w:rsidR="006A1592" w:rsidRPr="000908F7">
        <w:rPr>
          <w:rFonts w:ascii="Tahoma" w:eastAsia="Times New Roman" w:hAnsi="Tahoma" w:cs="Tahoma"/>
          <w:b/>
          <w:bCs/>
          <w:smallCaps/>
          <w:sz w:val="22"/>
          <w:szCs w:val="22"/>
          <w:lang w:eastAsia="en-US"/>
        </w:rPr>
        <w:t>accès</w:t>
      </w:r>
      <w:r w:rsidRPr="000908F7">
        <w:rPr>
          <w:rFonts w:ascii="Tahoma" w:eastAsia="Times New Roman" w:hAnsi="Tahoma" w:cs="Tahoma"/>
          <w:b/>
          <w:bCs/>
          <w:smallCaps/>
          <w:sz w:val="22"/>
          <w:szCs w:val="22"/>
          <w:lang w:eastAsia="en-US"/>
        </w:rPr>
        <w:t xml:space="preserve"> et des prestations du partage des infrastructures passives et actives </w:t>
      </w:r>
      <w:r w:rsidRPr="000908F7">
        <w:rPr>
          <w:rFonts w:ascii="Tahoma" w:hAnsi="Tahoma" w:cs="Tahoma"/>
          <w:b/>
          <w:sz w:val="22"/>
          <w:szCs w:val="22"/>
        </w:rPr>
        <w:t>.</w:t>
      </w:r>
    </w:p>
    <w:p w:rsidR="0021130C" w:rsidRDefault="0021130C" w:rsidP="0021130C">
      <w:pPr>
        <w:jc w:val="both"/>
        <w:rPr>
          <w:rFonts w:ascii="Times New Roman" w:hAnsi="Times New Roman" w:cs="Times New Roman"/>
          <w:sz w:val="24"/>
          <w:szCs w:val="24"/>
        </w:rPr>
      </w:pPr>
    </w:p>
    <w:p w:rsidR="00BC5AB7" w:rsidRPr="00BC5AB7" w:rsidRDefault="00BC5AB7" w:rsidP="00BC5AB7">
      <w:pPr>
        <w:pStyle w:val="NormalWeb"/>
        <w:jc w:val="both"/>
        <w:rPr>
          <w:sz w:val="20"/>
          <w:szCs w:val="20"/>
        </w:rPr>
      </w:pPr>
      <w:r w:rsidRPr="00BC5AB7">
        <w:rPr>
          <w:sz w:val="20"/>
          <w:szCs w:val="20"/>
        </w:rPr>
        <w:t xml:space="preserve">Le Gouvernement mauritanien cherche à développer le segment de l'Internet Haut Débit. Il a pour cela intégré le Programme pour une Infrastructure de Communications Régionales en Afrique de l'Ouest (West </w:t>
      </w:r>
      <w:proofErr w:type="spellStart"/>
      <w:r w:rsidRPr="00BC5AB7">
        <w:rPr>
          <w:sz w:val="20"/>
          <w:szCs w:val="20"/>
        </w:rPr>
        <w:t>Africa</w:t>
      </w:r>
      <w:proofErr w:type="spellEnd"/>
      <w:r w:rsidRPr="00BC5AB7">
        <w:rPr>
          <w:sz w:val="20"/>
          <w:szCs w:val="20"/>
        </w:rPr>
        <w:t xml:space="preserve"> Régional Communications Infrastructure Program - WARCIP) financé par la Banque Mondiale. La composante Mauritanie de ce projet qui est en cours de mise en œuvre par l'Unité de Coordination du</w:t>
      </w:r>
      <w:r w:rsidR="00AA1494">
        <w:rPr>
          <w:sz w:val="20"/>
          <w:szCs w:val="20"/>
        </w:rPr>
        <w:t xml:space="preserve"> Projet</w:t>
      </w:r>
      <w:r w:rsidRPr="00BC5AB7">
        <w:rPr>
          <w:sz w:val="20"/>
          <w:szCs w:val="20"/>
        </w:rPr>
        <w:t xml:space="preserve">, prévoit de financer la consultation relative </w:t>
      </w:r>
      <w:r>
        <w:rPr>
          <w:sz w:val="20"/>
          <w:szCs w:val="20"/>
        </w:rPr>
        <w:t xml:space="preserve">au </w:t>
      </w:r>
      <w:r w:rsidRPr="00BC5AB7">
        <w:rPr>
          <w:sz w:val="20"/>
          <w:szCs w:val="20"/>
        </w:rPr>
        <w:t>«DEVELOPPEMENT DES MODELES DE COUTS POUR LA DETERMINATION DES COUTS ET TARIFS DE L’INTERCONNEXION FIXE ET MOBILE, DE LA BANDE PASSANTE NATIONALE ET INTERNATIONALE, DES SERVICES D’ACES ET DES PRESTATIONS DU PARTAGE DES INFRASTRUCTURES PASSIVES ET ACTIVES».</w:t>
      </w:r>
    </w:p>
    <w:p w:rsidR="0021130C" w:rsidRPr="00BC5AB7" w:rsidRDefault="0021130C" w:rsidP="00BC5AB7">
      <w:pPr>
        <w:pStyle w:val="NormalWeb"/>
        <w:jc w:val="both"/>
        <w:rPr>
          <w:color w:val="000000"/>
          <w:sz w:val="20"/>
          <w:szCs w:val="20"/>
        </w:rPr>
      </w:pPr>
    </w:p>
    <w:p w:rsidR="0021130C" w:rsidRDefault="0021130C" w:rsidP="0021130C">
      <w:pPr>
        <w:pStyle w:val="NormalWeb"/>
        <w:ind w:left="720"/>
        <w:jc w:val="both"/>
        <w:rPr>
          <w:color w:val="000000"/>
          <w:sz w:val="20"/>
          <w:szCs w:val="20"/>
        </w:rPr>
      </w:pPr>
    </w:p>
    <w:p w:rsidR="0021130C" w:rsidRDefault="0021130C" w:rsidP="0021130C">
      <w:pPr>
        <w:pStyle w:val="NormalWeb"/>
        <w:numPr>
          <w:ilvl w:val="0"/>
          <w:numId w:val="2"/>
        </w:numPr>
        <w:rPr>
          <w:b/>
          <w:color w:val="000000"/>
          <w:sz w:val="20"/>
          <w:szCs w:val="20"/>
          <w:lang w:val="en-US"/>
        </w:rPr>
      </w:pPr>
      <w:r>
        <w:rPr>
          <w:b/>
          <w:color w:val="000000"/>
          <w:sz w:val="20"/>
          <w:szCs w:val="20"/>
          <w:lang w:val="en-US"/>
        </w:rPr>
        <w:t>OBJECTIFS DE LA MISSION</w:t>
      </w:r>
    </w:p>
    <w:p w:rsidR="0021130C" w:rsidRDefault="0021130C" w:rsidP="0021130C">
      <w:pPr>
        <w:pStyle w:val="NormalWeb"/>
        <w:rPr>
          <w:bCs/>
          <w:color w:val="000000"/>
          <w:sz w:val="20"/>
          <w:szCs w:val="20"/>
        </w:rPr>
      </w:pPr>
    </w:p>
    <w:p w:rsidR="0021130C" w:rsidRPr="00986C2A" w:rsidRDefault="0021130C" w:rsidP="0021130C">
      <w:pPr>
        <w:jc w:val="both"/>
        <w:rPr>
          <w:rFonts w:ascii="Tahoma" w:hAnsi="Tahoma" w:cs="Tahoma"/>
        </w:rPr>
      </w:pPr>
      <w:r w:rsidRPr="00986C2A">
        <w:rPr>
          <w:rFonts w:ascii="Tahoma" w:hAnsi="Tahoma" w:cs="Tahoma"/>
        </w:rPr>
        <w:t>L’objectif global de la mission consiste à assurer pour le compte de l’ARE la mise en place de modèles de calcul des coûts et des tarifs pour :</w:t>
      </w:r>
    </w:p>
    <w:p w:rsidR="0021130C" w:rsidRPr="00986C2A" w:rsidRDefault="0021130C" w:rsidP="00726A16">
      <w:pPr>
        <w:jc w:val="both"/>
        <w:rPr>
          <w:rFonts w:ascii="Tahoma" w:hAnsi="Tahoma" w:cs="Tahoma"/>
        </w:rPr>
      </w:pPr>
      <w:r w:rsidRPr="00986C2A">
        <w:rPr>
          <w:rFonts w:ascii="Tahoma" w:hAnsi="Tahoma" w:cs="Tahoma"/>
        </w:rPr>
        <w:t xml:space="preserve">- la terminaison d’appel (voix, </w:t>
      </w:r>
      <w:proofErr w:type="spellStart"/>
      <w:r w:rsidR="00F25FDB">
        <w:rPr>
          <w:rFonts w:ascii="Tahoma" w:hAnsi="Tahoma" w:cs="Tahoma"/>
        </w:rPr>
        <w:t>sms</w:t>
      </w:r>
      <w:proofErr w:type="spellEnd"/>
      <w:r w:rsidR="00F25FDB">
        <w:rPr>
          <w:rFonts w:ascii="Tahoma" w:hAnsi="Tahoma" w:cs="Tahoma"/>
        </w:rPr>
        <w:t xml:space="preserve">, </w:t>
      </w:r>
      <w:proofErr w:type="spellStart"/>
      <w:r w:rsidR="00F25FDB">
        <w:rPr>
          <w:rFonts w:ascii="Tahoma" w:hAnsi="Tahoma" w:cs="Tahoma"/>
        </w:rPr>
        <w:t>mms</w:t>
      </w:r>
      <w:proofErr w:type="spellEnd"/>
      <w:r w:rsidR="00F25FDB">
        <w:rPr>
          <w:rFonts w:ascii="Tahoma" w:hAnsi="Tahoma" w:cs="Tahoma"/>
        </w:rPr>
        <w:t xml:space="preserve">, visiophonie, transit, </w:t>
      </w:r>
      <w:r w:rsidRPr="00986C2A">
        <w:rPr>
          <w:rFonts w:ascii="Tahoma" w:hAnsi="Tahoma" w:cs="Tahoma"/>
        </w:rPr>
        <w:t>etc</w:t>
      </w:r>
      <w:r w:rsidR="00F25FDB">
        <w:rPr>
          <w:rFonts w:ascii="Tahoma" w:hAnsi="Tahoma" w:cs="Tahoma"/>
        </w:rPr>
        <w:t>.</w:t>
      </w:r>
      <w:r w:rsidRPr="00986C2A">
        <w:rPr>
          <w:rFonts w:ascii="Tahoma" w:hAnsi="Tahoma" w:cs="Tahoma"/>
        </w:rPr>
        <w:t xml:space="preserve">) du fixe et du mobile, </w:t>
      </w:r>
    </w:p>
    <w:p w:rsidR="0021130C" w:rsidRPr="00986C2A" w:rsidRDefault="0021130C" w:rsidP="0021130C">
      <w:pPr>
        <w:jc w:val="both"/>
        <w:rPr>
          <w:rFonts w:ascii="Tahoma" w:hAnsi="Tahoma" w:cs="Tahoma"/>
        </w:rPr>
      </w:pPr>
      <w:r w:rsidRPr="00986C2A">
        <w:rPr>
          <w:rFonts w:ascii="Tahoma" w:hAnsi="Tahoma" w:cs="Tahoma"/>
        </w:rPr>
        <w:t xml:space="preserve">- les services de bande passante nationale et internationale ; </w:t>
      </w:r>
    </w:p>
    <w:p w:rsidR="0021130C" w:rsidRPr="00986C2A" w:rsidRDefault="0021130C" w:rsidP="0021130C">
      <w:pPr>
        <w:jc w:val="both"/>
        <w:rPr>
          <w:rFonts w:ascii="Tahoma" w:hAnsi="Tahoma" w:cs="Tahoma"/>
        </w:rPr>
      </w:pPr>
      <w:r w:rsidRPr="00986C2A">
        <w:rPr>
          <w:rFonts w:ascii="Tahoma" w:hAnsi="Tahoma" w:cs="Tahoma"/>
        </w:rPr>
        <w:t>- les services d’accès notamment celle liés au dégroupage de la boucle locale ;</w:t>
      </w:r>
    </w:p>
    <w:p w:rsidR="0021130C" w:rsidRPr="00986C2A" w:rsidRDefault="0021130C" w:rsidP="0021130C">
      <w:pPr>
        <w:jc w:val="both"/>
        <w:rPr>
          <w:rFonts w:ascii="Tahoma" w:hAnsi="Tahoma" w:cs="Tahoma"/>
        </w:rPr>
      </w:pPr>
      <w:r w:rsidRPr="00986C2A">
        <w:rPr>
          <w:rFonts w:ascii="Tahoma" w:hAnsi="Tahoma" w:cs="Tahoma"/>
        </w:rPr>
        <w:t>- les prestations de partage d’infrastructures (</w:t>
      </w:r>
      <w:proofErr w:type="spellStart"/>
      <w:r w:rsidRPr="00986C2A">
        <w:rPr>
          <w:rFonts w:ascii="Tahoma" w:hAnsi="Tahoma" w:cs="Tahoma"/>
        </w:rPr>
        <w:t>colocalisation</w:t>
      </w:r>
      <w:proofErr w:type="spellEnd"/>
      <w:r w:rsidRPr="00986C2A">
        <w:rPr>
          <w:rFonts w:ascii="Tahoma" w:hAnsi="Tahoma" w:cs="Tahoma"/>
        </w:rPr>
        <w:t>, pylônes, fibres noires, fourreaux, etc.).</w:t>
      </w:r>
    </w:p>
    <w:p w:rsidR="0021130C" w:rsidRPr="00986C2A" w:rsidRDefault="0021130C" w:rsidP="0021130C">
      <w:pPr>
        <w:jc w:val="both"/>
        <w:rPr>
          <w:rFonts w:ascii="Tahoma" w:hAnsi="Tahoma" w:cs="Tahoma"/>
        </w:rPr>
      </w:pPr>
    </w:p>
    <w:p w:rsidR="0021130C" w:rsidRPr="00986C2A" w:rsidRDefault="00AA6B3B" w:rsidP="0021130C">
      <w:pPr>
        <w:jc w:val="both"/>
        <w:rPr>
          <w:rFonts w:ascii="Tahoma" w:hAnsi="Tahoma" w:cs="Tahoma"/>
        </w:rPr>
      </w:pPr>
      <w:r w:rsidRPr="00986C2A">
        <w:rPr>
          <w:rFonts w:ascii="Tahoma" w:hAnsi="Tahoma" w:cs="Tahoma"/>
        </w:rPr>
        <w:t xml:space="preserve">Cette mission consiste également à </w:t>
      </w:r>
      <w:r w:rsidR="00986C2A" w:rsidRPr="00986C2A">
        <w:rPr>
          <w:rFonts w:ascii="Tahoma" w:hAnsi="Tahoma" w:cs="Tahoma"/>
        </w:rPr>
        <w:t>assister l’ARE dans</w:t>
      </w:r>
      <w:r w:rsidRPr="00986C2A">
        <w:rPr>
          <w:rFonts w:ascii="Tahoma" w:hAnsi="Tahoma" w:cs="Tahoma"/>
        </w:rPr>
        <w:t> :</w:t>
      </w:r>
    </w:p>
    <w:p w:rsidR="00986C2A" w:rsidRPr="00986C2A" w:rsidRDefault="00986C2A" w:rsidP="00AA6B3B">
      <w:pPr>
        <w:pStyle w:val="Paragraphedeliste"/>
        <w:numPr>
          <w:ilvl w:val="0"/>
          <w:numId w:val="8"/>
        </w:numPr>
        <w:jc w:val="both"/>
        <w:rPr>
          <w:rFonts w:ascii="Tahoma" w:hAnsi="Tahoma" w:cs="Tahoma"/>
        </w:rPr>
      </w:pPr>
      <w:r w:rsidRPr="00986C2A">
        <w:rPr>
          <w:rFonts w:ascii="Tahoma" w:hAnsi="Tahoma" w:cs="Tahoma"/>
        </w:rPr>
        <w:t>le processus de désignation des opérateurs en position dominante pour l’année 2014 (sur l’interconnexion, l’accès aux infrastructures et leur partage, etc.)</w:t>
      </w:r>
    </w:p>
    <w:p w:rsidR="00AA6B3B" w:rsidRPr="00986C2A" w:rsidRDefault="00AA6B3B" w:rsidP="00AA6B3B">
      <w:pPr>
        <w:pStyle w:val="Paragraphedeliste"/>
        <w:numPr>
          <w:ilvl w:val="0"/>
          <w:numId w:val="8"/>
        </w:numPr>
        <w:jc w:val="both"/>
        <w:rPr>
          <w:rFonts w:ascii="Tahoma" w:hAnsi="Tahoma" w:cs="Tahoma"/>
        </w:rPr>
      </w:pPr>
      <w:r w:rsidRPr="00986C2A">
        <w:rPr>
          <w:rFonts w:ascii="Tahoma" w:hAnsi="Tahoma" w:cs="Tahoma"/>
        </w:rPr>
        <w:t xml:space="preserve">la formation des équipes chargées de l’interconnexion et de l’accès sur </w:t>
      </w:r>
      <w:r w:rsidR="00986C2A" w:rsidRPr="00986C2A">
        <w:rPr>
          <w:rFonts w:ascii="Tahoma" w:hAnsi="Tahoma" w:cs="Tahoma"/>
        </w:rPr>
        <w:t>la modélisation</w:t>
      </w:r>
      <w:r w:rsidRPr="00986C2A">
        <w:rPr>
          <w:rFonts w:ascii="Tahoma" w:hAnsi="Tahoma" w:cs="Tahoma"/>
        </w:rPr>
        <w:t xml:space="preserve"> et sur les modèles de coûts proposés ;</w:t>
      </w:r>
    </w:p>
    <w:p w:rsidR="00986C2A" w:rsidRPr="00986C2A" w:rsidRDefault="00986C2A" w:rsidP="00AA6B3B">
      <w:pPr>
        <w:pStyle w:val="Paragraphedeliste"/>
        <w:numPr>
          <w:ilvl w:val="0"/>
          <w:numId w:val="8"/>
        </w:numPr>
        <w:jc w:val="both"/>
        <w:rPr>
          <w:rFonts w:ascii="Tahoma" w:hAnsi="Tahoma" w:cs="Tahoma"/>
        </w:rPr>
      </w:pPr>
      <w:r w:rsidRPr="00986C2A">
        <w:rPr>
          <w:rFonts w:ascii="Tahoma" w:hAnsi="Tahoma" w:cs="Tahoma"/>
        </w:rPr>
        <w:t>la mise en œuvre du modèle retenu sur les deux années suivant la mise en place de ce modèle</w:t>
      </w:r>
    </w:p>
    <w:p w:rsidR="0021130C" w:rsidRPr="0021130C" w:rsidRDefault="0021130C" w:rsidP="0021130C">
      <w:pPr>
        <w:jc w:val="both"/>
        <w:rPr>
          <w:rFonts w:ascii="Times New Roman" w:hAnsi="Times New Roman" w:cs="Times New Roman"/>
          <w:sz w:val="24"/>
          <w:szCs w:val="24"/>
        </w:rPr>
      </w:pPr>
    </w:p>
    <w:p w:rsidR="0021130C" w:rsidRDefault="0021130C" w:rsidP="0021130C">
      <w:pPr>
        <w:pStyle w:val="NormalWeb"/>
        <w:jc w:val="both"/>
        <w:rPr>
          <w:color w:val="000000"/>
          <w:sz w:val="20"/>
          <w:szCs w:val="20"/>
        </w:rPr>
      </w:pPr>
      <w:r>
        <w:rPr>
          <w:color w:val="000000"/>
          <w:sz w:val="20"/>
          <w:szCs w:val="20"/>
        </w:rPr>
        <w:t>Les consultants seront sélectionnés en accord avec les procédures définies dans les Directives pour la Sélection et l'Emploi de Consultants par les Emprunteurs de la Banque Mondiale de mai 2004, révisée en 2006, en 2010 et en 2011.</w:t>
      </w:r>
    </w:p>
    <w:p w:rsidR="0021130C" w:rsidRDefault="0021130C" w:rsidP="0021130C">
      <w:pPr>
        <w:pStyle w:val="NormalWeb"/>
        <w:jc w:val="both"/>
        <w:rPr>
          <w:color w:val="000000"/>
          <w:sz w:val="20"/>
          <w:szCs w:val="20"/>
        </w:rPr>
      </w:pPr>
    </w:p>
    <w:p w:rsidR="0021130C" w:rsidRDefault="0021130C" w:rsidP="00BC5AB7">
      <w:pPr>
        <w:pStyle w:val="NormalWeb"/>
        <w:jc w:val="both"/>
        <w:rPr>
          <w:color w:val="000000"/>
          <w:sz w:val="20"/>
          <w:szCs w:val="20"/>
        </w:rPr>
      </w:pPr>
      <w:r>
        <w:rPr>
          <w:color w:val="000000"/>
          <w:sz w:val="20"/>
          <w:szCs w:val="20"/>
        </w:rPr>
        <w:t xml:space="preserve">Le prestataire </w:t>
      </w:r>
      <w:r w:rsidR="00655465">
        <w:rPr>
          <w:color w:val="000000"/>
          <w:sz w:val="20"/>
          <w:szCs w:val="20"/>
        </w:rPr>
        <w:t xml:space="preserve">qui sera </w:t>
      </w:r>
      <w:r>
        <w:rPr>
          <w:color w:val="000000"/>
          <w:sz w:val="20"/>
          <w:szCs w:val="20"/>
        </w:rPr>
        <w:t>retenu (firme), doit être un bureau ou un groupement de bureaux ayant une grande expérience dans ce type d'études et justifiant d'expériences similaires avérées</w:t>
      </w:r>
      <w:r w:rsidR="008F2ED2">
        <w:rPr>
          <w:color w:val="000000"/>
          <w:sz w:val="20"/>
          <w:szCs w:val="20"/>
        </w:rPr>
        <w:t xml:space="preserve">, notamment dans </w:t>
      </w:r>
      <w:r w:rsidR="009C5CA5">
        <w:rPr>
          <w:color w:val="000000"/>
          <w:sz w:val="20"/>
          <w:szCs w:val="20"/>
        </w:rPr>
        <w:t xml:space="preserve">(i) </w:t>
      </w:r>
      <w:r w:rsidR="008F2ED2">
        <w:rPr>
          <w:color w:val="000000"/>
          <w:sz w:val="20"/>
          <w:szCs w:val="20"/>
        </w:rPr>
        <w:t>l</w:t>
      </w:r>
      <w:r w:rsidR="00BC5AB7">
        <w:rPr>
          <w:color w:val="000000"/>
          <w:sz w:val="20"/>
          <w:szCs w:val="20"/>
        </w:rPr>
        <w:t>e développement et la</w:t>
      </w:r>
      <w:r w:rsidR="008F2ED2">
        <w:rPr>
          <w:color w:val="000000"/>
          <w:sz w:val="20"/>
          <w:szCs w:val="20"/>
        </w:rPr>
        <w:t xml:space="preserve"> mise en place</w:t>
      </w:r>
      <w:r w:rsidR="008F63C0">
        <w:rPr>
          <w:color w:val="000000"/>
          <w:sz w:val="20"/>
          <w:szCs w:val="20"/>
        </w:rPr>
        <w:t xml:space="preserve"> de modèle de calcul de coûts</w:t>
      </w:r>
      <w:r w:rsidR="001E61F0">
        <w:rPr>
          <w:color w:val="000000"/>
          <w:sz w:val="20"/>
          <w:szCs w:val="20"/>
        </w:rPr>
        <w:t xml:space="preserve"> et tarifs d’interconnexion</w:t>
      </w:r>
      <w:r w:rsidR="009C5CA5">
        <w:rPr>
          <w:color w:val="000000"/>
          <w:sz w:val="20"/>
          <w:szCs w:val="20"/>
        </w:rPr>
        <w:t xml:space="preserve">, </w:t>
      </w:r>
      <w:r w:rsidR="009C5CA5">
        <w:rPr>
          <w:color w:val="000000"/>
          <w:sz w:val="20"/>
          <w:szCs w:val="20"/>
        </w:rPr>
        <w:lastRenderedPageBreak/>
        <w:t>(ii) l’élaboration et l’approbation des catalogues d’interconnexion et de partage des d’infrastructures et (iii) l’analyse</w:t>
      </w:r>
      <w:r w:rsidR="00293758">
        <w:rPr>
          <w:color w:val="000000"/>
          <w:sz w:val="20"/>
          <w:szCs w:val="20"/>
        </w:rPr>
        <w:t xml:space="preserve"> du cadre réglementaire de la régulation de l’interconnexion et de l’accès</w:t>
      </w:r>
      <w:r>
        <w:rPr>
          <w:color w:val="000000"/>
          <w:sz w:val="20"/>
          <w:szCs w:val="20"/>
        </w:rPr>
        <w:t>.</w:t>
      </w:r>
    </w:p>
    <w:p w:rsidR="001E61F0" w:rsidRDefault="001E61F0" w:rsidP="0021130C">
      <w:pPr>
        <w:pStyle w:val="NormalWeb"/>
        <w:jc w:val="both"/>
        <w:rPr>
          <w:color w:val="000000"/>
          <w:sz w:val="20"/>
          <w:szCs w:val="20"/>
        </w:rPr>
      </w:pPr>
    </w:p>
    <w:p w:rsidR="001E61F0" w:rsidRDefault="001E61F0" w:rsidP="0021130C">
      <w:pPr>
        <w:pStyle w:val="NormalWeb"/>
        <w:jc w:val="both"/>
        <w:rPr>
          <w:color w:val="000000"/>
          <w:sz w:val="20"/>
          <w:szCs w:val="20"/>
        </w:rPr>
      </w:pPr>
      <w:r>
        <w:rPr>
          <w:color w:val="000000"/>
          <w:sz w:val="20"/>
          <w:szCs w:val="20"/>
        </w:rPr>
        <w:t>Ce prestataire doit en outre disposer d’un personnel clé ayant les profils suivants :</w:t>
      </w:r>
    </w:p>
    <w:p w:rsidR="007D4E9F" w:rsidRDefault="007D4E9F" w:rsidP="007D4E9F">
      <w:pPr>
        <w:pStyle w:val="NormalWeb"/>
        <w:numPr>
          <w:ilvl w:val="0"/>
          <w:numId w:val="7"/>
        </w:numPr>
        <w:jc w:val="both"/>
        <w:rPr>
          <w:color w:val="000000"/>
          <w:sz w:val="20"/>
          <w:szCs w:val="20"/>
        </w:rPr>
      </w:pPr>
      <w:r>
        <w:rPr>
          <w:color w:val="000000"/>
          <w:sz w:val="20"/>
          <w:szCs w:val="20"/>
        </w:rPr>
        <w:t>Un ingénieur développeur hautement qualifié (plus de 10 ans d’expériences)</w:t>
      </w:r>
      <w:r w:rsidR="00A53DA2">
        <w:rPr>
          <w:color w:val="000000"/>
          <w:sz w:val="20"/>
          <w:szCs w:val="20"/>
        </w:rPr>
        <w:t xml:space="preserve"> ayant participé au moins à 3 missions similaires pour des régulateurs et/ou opérateurs de </w:t>
      </w:r>
      <w:r w:rsidR="00AA1494">
        <w:rPr>
          <w:color w:val="000000"/>
          <w:sz w:val="20"/>
          <w:szCs w:val="20"/>
        </w:rPr>
        <w:t>télécommunication</w:t>
      </w:r>
      <w:r>
        <w:rPr>
          <w:color w:val="000000"/>
          <w:sz w:val="20"/>
          <w:szCs w:val="20"/>
        </w:rPr>
        <w:t> ;</w:t>
      </w:r>
    </w:p>
    <w:p w:rsidR="007D4E9F" w:rsidRDefault="007D4E9F" w:rsidP="007D4E9F">
      <w:pPr>
        <w:pStyle w:val="NormalWeb"/>
        <w:numPr>
          <w:ilvl w:val="0"/>
          <w:numId w:val="7"/>
        </w:numPr>
        <w:jc w:val="both"/>
        <w:rPr>
          <w:color w:val="000000"/>
          <w:sz w:val="20"/>
          <w:szCs w:val="20"/>
        </w:rPr>
      </w:pPr>
      <w:r>
        <w:rPr>
          <w:color w:val="000000"/>
          <w:sz w:val="20"/>
          <w:szCs w:val="20"/>
        </w:rPr>
        <w:t>Un économiste avec une expérience d’au moins 10 ans, ayant réalisé au moins 3 missions relative à la mise en place de modèle de calcul de coûts et tarifs d’interconnexion ;</w:t>
      </w:r>
    </w:p>
    <w:p w:rsidR="007D4E9F" w:rsidRDefault="007D4E9F" w:rsidP="007D4E9F">
      <w:pPr>
        <w:pStyle w:val="NormalWeb"/>
        <w:numPr>
          <w:ilvl w:val="0"/>
          <w:numId w:val="7"/>
        </w:numPr>
        <w:jc w:val="both"/>
        <w:rPr>
          <w:color w:val="000000"/>
          <w:sz w:val="20"/>
          <w:szCs w:val="20"/>
        </w:rPr>
      </w:pPr>
      <w:r>
        <w:rPr>
          <w:color w:val="000000"/>
          <w:sz w:val="20"/>
          <w:szCs w:val="20"/>
        </w:rPr>
        <w:t>Un juriste hautement qualifié, ayant une expérience confirmée d’au moins trois ans dans la réglementation des télécommunications et en matière d’interconnexion et d’accès.</w:t>
      </w:r>
    </w:p>
    <w:p w:rsidR="0021130C" w:rsidRDefault="0021130C" w:rsidP="0021130C">
      <w:pPr>
        <w:pStyle w:val="NormalWeb"/>
        <w:jc w:val="both"/>
        <w:rPr>
          <w:color w:val="000000"/>
          <w:sz w:val="20"/>
          <w:szCs w:val="20"/>
        </w:rPr>
      </w:pPr>
    </w:p>
    <w:p w:rsidR="0021130C" w:rsidRDefault="0021130C" w:rsidP="0021130C">
      <w:pPr>
        <w:pStyle w:val="NormalWeb"/>
        <w:jc w:val="both"/>
        <w:rPr>
          <w:color w:val="000000"/>
          <w:sz w:val="20"/>
          <w:szCs w:val="20"/>
        </w:rPr>
      </w:pPr>
      <w:r>
        <w:rPr>
          <w:color w:val="000000"/>
          <w:sz w:val="20"/>
          <w:szCs w:val="20"/>
        </w:rPr>
        <w:t>La langue de travail à l'oral est le Français. Les livrables sont en Français.</w:t>
      </w:r>
    </w:p>
    <w:p w:rsidR="0021130C" w:rsidRDefault="0021130C" w:rsidP="0021130C">
      <w:pPr>
        <w:pStyle w:val="NormalWeb"/>
        <w:jc w:val="both"/>
        <w:rPr>
          <w:color w:val="000000"/>
          <w:sz w:val="20"/>
          <w:szCs w:val="20"/>
        </w:rPr>
      </w:pPr>
    </w:p>
    <w:p w:rsidR="0021130C" w:rsidRDefault="0021130C" w:rsidP="0021130C">
      <w:pPr>
        <w:pStyle w:val="NormalWeb"/>
        <w:jc w:val="both"/>
        <w:rPr>
          <w:b/>
          <w:bCs/>
          <w:color w:val="000000"/>
          <w:sz w:val="20"/>
          <w:szCs w:val="20"/>
        </w:rPr>
      </w:pPr>
      <w:r>
        <w:rPr>
          <w:b/>
          <w:bCs/>
          <w:color w:val="000000"/>
          <w:sz w:val="20"/>
          <w:szCs w:val="20"/>
        </w:rPr>
        <w:t>Réponse à la manifestation d'intérêt</w:t>
      </w:r>
    </w:p>
    <w:p w:rsidR="0021130C" w:rsidRDefault="0021130C" w:rsidP="0021130C">
      <w:pPr>
        <w:pStyle w:val="NormalWeb"/>
        <w:jc w:val="both"/>
        <w:rPr>
          <w:b/>
          <w:bCs/>
          <w:color w:val="000000"/>
          <w:sz w:val="20"/>
          <w:szCs w:val="20"/>
        </w:rPr>
      </w:pPr>
    </w:p>
    <w:p w:rsidR="00C40EC8" w:rsidRDefault="0021130C" w:rsidP="0021130C">
      <w:pPr>
        <w:pStyle w:val="NormalWeb"/>
        <w:jc w:val="both"/>
        <w:rPr>
          <w:color w:val="000000"/>
          <w:sz w:val="20"/>
          <w:szCs w:val="20"/>
        </w:rPr>
      </w:pPr>
      <w:r>
        <w:rPr>
          <w:color w:val="000000"/>
          <w:sz w:val="20"/>
          <w:szCs w:val="20"/>
        </w:rPr>
        <w:t>Les bureaux potentiels (prestataires ayant des références similaires) souhaitant exécuter cette mission devront soumettre leur manifestation d'intérêt</w:t>
      </w:r>
      <w:r w:rsidR="00986C2A">
        <w:rPr>
          <w:color w:val="000000"/>
          <w:sz w:val="20"/>
          <w:szCs w:val="20"/>
        </w:rPr>
        <w:t xml:space="preserve"> (</w:t>
      </w:r>
      <w:r w:rsidR="00986C2A" w:rsidRPr="00C40EC8">
        <w:rPr>
          <w:b/>
          <w:color w:val="000000"/>
          <w:sz w:val="20"/>
          <w:szCs w:val="20"/>
        </w:rPr>
        <w:t>en trois copies</w:t>
      </w:r>
      <w:r w:rsidR="00986C2A">
        <w:rPr>
          <w:color w:val="000000"/>
          <w:sz w:val="20"/>
          <w:szCs w:val="20"/>
        </w:rPr>
        <w:t>)</w:t>
      </w:r>
      <w:r>
        <w:rPr>
          <w:color w:val="000000"/>
          <w:sz w:val="20"/>
          <w:szCs w:val="20"/>
        </w:rPr>
        <w:t xml:space="preserve"> dans un dossier ne dépassant pas une trentaine de pages et faisant ressortir</w:t>
      </w:r>
      <w:r w:rsidR="00C40EC8">
        <w:rPr>
          <w:color w:val="000000"/>
          <w:sz w:val="20"/>
          <w:szCs w:val="20"/>
        </w:rPr>
        <w:t xml:space="preserve"> les éléments suivants :</w:t>
      </w:r>
    </w:p>
    <w:p w:rsidR="00C40EC8" w:rsidRDefault="00C40EC8" w:rsidP="0002724F">
      <w:pPr>
        <w:pStyle w:val="NormalWeb"/>
        <w:numPr>
          <w:ilvl w:val="0"/>
          <w:numId w:val="9"/>
        </w:numPr>
        <w:jc w:val="both"/>
        <w:rPr>
          <w:color w:val="000000"/>
          <w:sz w:val="20"/>
          <w:szCs w:val="20"/>
        </w:rPr>
      </w:pPr>
      <w:r>
        <w:rPr>
          <w:color w:val="000000"/>
          <w:sz w:val="20"/>
          <w:szCs w:val="20"/>
        </w:rPr>
        <w:t>La lettre de candidature pour la Manifestation d’intérêt ;</w:t>
      </w:r>
    </w:p>
    <w:p w:rsidR="00C40EC8" w:rsidRDefault="0021130C" w:rsidP="0002724F">
      <w:pPr>
        <w:pStyle w:val="NormalWeb"/>
        <w:numPr>
          <w:ilvl w:val="0"/>
          <w:numId w:val="9"/>
        </w:numPr>
        <w:jc w:val="both"/>
        <w:rPr>
          <w:color w:val="000000"/>
          <w:sz w:val="20"/>
          <w:szCs w:val="20"/>
        </w:rPr>
      </w:pPr>
      <w:r>
        <w:rPr>
          <w:color w:val="000000"/>
          <w:sz w:val="20"/>
          <w:szCs w:val="20"/>
        </w:rPr>
        <w:t>la présentation d</w:t>
      </w:r>
      <w:r w:rsidR="00C40EC8">
        <w:rPr>
          <w:color w:val="000000"/>
          <w:sz w:val="20"/>
          <w:szCs w:val="20"/>
        </w:rPr>
        <w:t>u</w:t>
      </w:r>
      <w:r>
        <w:rPr>
          <w:color w:val="000000"/>
          <w:sz w:val="20"/>
          <w:szCs w:val="20"/>
        </w:rPr>
        <w:t xml:space="preserve"> bureau</w:t>
      </w:r>
      <w:r w:rsidR="00C40EC8">
        <w:rPr>
          <w:color w:val="000000"/>
          <w:sz w:val="20"/>
          <w:szCs w:val="20"/>
        </w:rPr>
        <w:t xml:space="preserve"> et</w:t>
      </w:r>
      <w:r>
        <w:rPr>
          <w:color w:val="000000"/>
          <w:sz w:val="20"/>
          <w:szCs w:val="20"/>
        </w:rPr>
        <w:t xml:space="preserve"> </w:t>
      </w:r>
      <w:r w:rsidR="00C40EC8">
        <w:rPr>
          <w:color w:val="000000"/>
          <w:sz w:val="20"/>
          <w:szCs w:val="20"/>
        </w:rPr>
        <w:t>son</w:t>
      </w:r>
      <w:r>
        <w:rPr>
          <w:color w:val="000000"/>
          <w:sz w:val="20"/>
          <w:szCs w:val="20"/>
        </w:rPr>
        <w:t xml:space="preserve"> organisation technique et managériale, </w:t>
      </w:r>
    </w:p>
    <w:p w:rsidR="0002724F" w:rsidRDefault="0021130C" w:rsidP="0002724F">
      <w:pPr>
        <w:pStyle w:val="NormalWeb"/>
        <w:numPr>
          <w:ilvl w:val="0"/>
          <w:numId w:val="9"/>
        </w:numPr>
        <w:jc w:val="both"/>
        <w:rPr>
          <w:color w:val="000000"/>
          <w:sz w:val="20"/>
          <w:szCs w:val="20"/>
        </w:rPr>
      </w:pPr>
      <w:r>
        <w:rPr>
          <w:color w:val="000000"/>
          <w:sz w:val="20"/>
          <w:szCs w:val="20"/>
        </w:rPr>
        <w:t xml:space="preserve">les références et les expériences </w:t>
      </w:r>
      <w:r w:rsidR="00C40EC8">
        <w:rPr>
          <w:color w:val="000000"/>
          <w:sz w:val="20"/>
          <w:szCs w:val="20"/>
        </w:rPr>
        <w:t xml:space="preserve">spécifiques </w:t>
      </w:r>
      <w:r>
        <w:rPr>
          <w:color w:val="000000"/>
          <w:sz w:val="20"/>
          <w:szCs w:val="20"/>
        </w:rPr>
        <w:t>dans le domaine</w:t>
      </w:r>
      <w:r w:rsidR="0002724F">
        <w:rPr>
          <w:color w:val="000000"/>
          <w:sz w:val="20"/>
          <w:szCs w:val="20"/>
        </w:rPr>
        <w:t> ;</w:t>
      </w:r>
    </w:p>
    <w:p w:rsidR="0002724F" w:rsidRDefault="0002724F" w:rsidP="0002724F">
      <w:pPr>
        <w:pStyle w:val="NormalWeb"/>
        <w:numPr>
          <w:ilvl w:val="0"/>
          <w:numId w:val="9"/>
        </w:numPr>
        <w:jc w:val="both"/>
        <w:rPr>
          <w:color w:val="000000"/>
          <w:sz w:val="20"/>
          <w:szCs w:val="20"/>
        </w:rPr>
      </w:pPr>
      <w:r>
        <w:rPr>
          <w:color w:val="000000"/>
          <w:sz w:val="20"/>
          <w:szCs w:val="20"/>
        </w:rPr>
        <w:t>le</w:t>
      </w:r>
      <w:r w:rsidR="0021130C">
        <w:rPr>
          <w:color w:val="000000"/>
          <w:sz w:val="20"/>
          <w:szCs w:val="20"/>
        </w:rPr>
        <w:t xml:space="preserve"> personnel clé destiné à l'exécution de la mission</w:t>
      </w:r>
      <w:r w:rsidR="00986C2A">
        <w:rPr>
          <w:color w:val="000000"/>
          <w:sz w:val="20"/>
          <w:szCs w:val="20"/>
        </w:rPr>
        <w:t xml:space="preserve"> </w:t>
      </w:r>
      <w:r w:rsidR="00986C2A" w:rsidRPr="004675C9">
        <w:rPr>
          <w:b/>
          <w:color w:val="000000"/>
          <w:sz w:val="18"/>
          <w:szCs w:val="18"/>
        </w:rPr>
        <w:t>(les cv ne sont</w:t>
      </w:r>
      <w:r w:rsidR="004675C9" w:rsidRPr="004675C9">
        <w:rPr>
          <w:b/>
          <w:color w:val="000000"/>
          <w:sz w:val="18"/>
          <w:szCs w:val="18"/>
        </w:rPr>
        <w:t xml:space="preserve"> pas requis à cette étape</w:t>
      </w:r>
      <w:r w:rsidR="004675C9">
        <w:rPr>
          <w:color w:val="000000"/>
          <w:sz w:val="20"/>
          <w:szCs w:val="20"/>
        </w:rPr>
        <w:t>)</w:t>
      </w:r>
      <w:r>
        <w:rPr>
          <w:color w:val="000000"/>
          <w:sz w:val="20"/>
          <w:szCs w:val="20"/>
        </w:rPr>
        <w:t>.</w:t>
      </w:r>
    </w:p>
    <w:p w:rsidR="0002724F" w:rsidRDefault="0002724F" w:rsidP="0021130C">
      <w:pPr>
        <w:pStyle w:val="NormalWeb"/>
        <w:jc w:val="both"/>
        <w:rPr>
          <w:color w:val="000000"/>
          <w:sz w:val="20"/>
          <w:szCs w:val="20"/>
        </w:rPr>
      </w:pPr>
    </w:p>
    <w:p w:rsidR="0021130C" w:rsidRPr="006A1592" w:rsidRDefault="0021130C" w:rsidP="0021130C">
      <w:pPr>
        <w:pStyle w:val="NormalWeb"/>
        <w:jc w:val="both"/>
        <w:rPr>
          <w:b/>
          <w:color w:val="000000"/>
          <w:sz w:val="20"/>
          <w:szCs w:val="20"/>
        </w:rPr>
      </w:pPr>
      <w:r>
        <w:rPr>
          <w:color w:val="000000"/>
          <w:sz w:val="20"/>
          <w:szCs w:val="20"/>
        </w:rPr>
        <w:t xml:space="preserve"> </w:t>
      </w:r>
      <w:r w:rsidR="0002724F">
        <w:rPr>
          <w:color w:val="000000"/>
          <w:sz w:val="20"/>
          <w:szCs w:val="20"/>
        </w:rPr>
        <w:t>Les dossiers de candidature parvenir à la Commission</w:t>
      </w:r>
      <w:r>
        <w:rPr>
          <w:color w:val="000000"/>
          <w:sz w:val="20"/>
          <w:szCs w:val="20"/>
        </w:rPr>
        <w:t xml:space="preserve"> au plus tard </w:t>
      </w:r>
      <w:r>
        <w:rPr>
          <w:b/>
          <w:color w:val="000000"/>
          <w:sz w:val="20"/>
          <w:szCs w:val="20"/>
        </w:rPr>
        <w:t xml:space="preserve">le mercredi </w:t>
      </w:r>
      <w:r w:rsidR="00D757FD">
        <w:rPr>
          <w:b/>
          <w:color w:val="000000"/>
          <w:sz w:val="20"/>
          <w:szCs w:val="20"/>
        </w:rPr>
        <w:t>1</w:t>
      </w:r>
      <w:r w:rsidR="00AA1494">
        <w:rPr>
          <w:b/>
          <w:color w:val="000000"/>
          <w:sz w:val="20"/>
          <w:szCs w:val="20"/>
        </w:rPr>
        <w:t>9</w:t>
      </w:r>
      <w:r w:rsidR="004675C9">
        <w:rPr>
          <w:b/>
          <w:color w:val="000000"/>
          <w:sz w:val="20"/>
          <w:szCs w:val="20"/>
        </w:rPr>
        <w:t xml:space="preserve"> </w:t>
      </w:r>
      <w:r w:rsidR="00D757FD">
        <w:rPr>
          <w:b/>
          <w:color w:val="000000"/>
          <w:sz w:val="20"/>
          <w:szCs w:val="20"/>
        </w:rPr>
        <w:t>Mars</w:t>
      </w:r>
      <w:r w:rsidR="004675C9">
        <w:rPr>
          <w:b/>
          <w:color w:val="000000"/>
          <w:sz w:val="20"/>
          <w:szCs w:val="20"/>
        </w:rPr>
        <w:t xml:space="preserve"> 201</w:t>
      </w:r>
      <w:r w:rsidR="00D757FD">
        <w:rPr>
          <w:b/>
          <w:color w:val="000000"/>
          <w:sz w:val="20"/>
          <w:szCs w:val="20"/>
        </w:rPr>
        <w:t>4</w:t>
      </w:r>
      <w:r>
        <w:rPr>
          <w:b/>
          <w:color w:val="000000"/>
          <w:sz w:val="20"/>
          <w:szCs w:val="20"/>
        </w:rPr>
        <w:t xml:space="preserve"> à 12</w:t>
      </w:r>
      <w:r>
        <w:rPr>
          <w:color w:val="000000"/>
          <w:sz w:val="20"/>
          <w:szCs w:val="20"/>
        </w:rPr>
        <w:t xml:space="preserve"> heures </w:t>
      </w:r>
      <w:r w:rsidR="004675C9">
        <w:rPr>
          <w:color w:val="000000"/>
          <w:sz w:val="20"/>
          <w:szCs w:val="20"/>
        </w:rPr>
        <w:t xml:space="preserve">TU </w:t>
      </w:r>
      <w:r>
        <w:rPr>
          <w:color w:val="000000"/>
          <w:sz w:val="20"/>
          <w:szCs w:val="20"/>
        </w:rPr>
        <w:t>à l'adresse ci-dessous :</w:t>
      </w:r>
    </w:p>
    <w:p w:rsidR="0021130C" w:rsidRDefault="0021130C" w:rsidP="0021130C">
      <w:pPr>
        <w:pStyle w:val="NormalWeb"/>
        <w:jc w:val="both"/>
        <w:rPr>
          <w:color w:val="000000"/>
          <w:sz w:val="20"/>
          <w:szCs w:val="20"/>
        </w:rPr>
      </w:pPr>
    </w:p>
    <w:p w:rsidR="0021130C" w:rsidRDefault="0021130C" w:rsidP="0021130C">
      <w:pPr>
        <w:pStyle w:val="NormalWeb"/>
        <w:jc w:val="both"/>
        <w:rPr>
          <w:color w:val="000000"/>
          <w:sz w:val="20"/>
          <w:szCs w:val="20"/>
        </w:rPr>
      </w:pPr>
      <w:r>
        <w:rPr>
          <w:color w:val="000000"/>
          <w:sz w:val="20"/>
          <w:szCs w:val="20"/>
        </w:rPr>
        <w:t>Secrétariat de la Commission de Passation des Marchés Publics des Secteurs Sociaux(CPMSS)</w:t>
      </w:r>
    </w:p>
    <w:p w:rsidR="0021130C" w:rsidRDefault="0021130C" w:rsidP="0021130C">
      <w:pPr>
        <w:pStyle w:val="NormalWeb"/>
        <w:jc w:val="both"/>
        <w:rPr>
          <w:color w:val="000000"/>
          <w:sz w:val="20"/>
          <w:szCs w:val="20"/>
        </w:rPr>
      </w:pPr>
      <w:r>
        <w:rPr>
          <w:color w:val="000000"/>
          <w:sz w:val="20"/>
          <w:szCs w:val="20"/>
        </w:rPr>
        <w:t xml:space="preserve">Immeuble </w:t>
      </w:r>
      <w:proofErr w:type="spellStart"/>
      <w:r>
        <w:rPr>
          <w:color w:val="000000"/>
          <w:sz w:val="20"/>
          <w:szCs w:val="20"/>
        </w:rPr>
        <w:t>Mounna</w:t>
      </w:r>
      <w:proofErr w:type="spellEnd"/>
      <w:r>
        <w:rPr>
          <w:color w:val="000000"/>
          <w:sz w:val="20"/>
          <w:szCs w:val="20"/>
        </w:rPr>
        <w:t xml:space="preserve"> </w:t>
      </w:r>
      <w:r w:rsidRPr="0021130C">
        <w:rPr>
          <w:color w:val="000000"/>
          <w:sz w:val="20"/>
          <w:szCs w:val="20"/>
          <w:vertAlign w:val="superscript"/>
        </w:rPr>
        <w:t>2eme</w:t>
      </w:r>
      <w:r>
        <w:rPr>
          <w:color w:val="000000"/>
          <w:sz w:val="20"/>
          <w:szCs w:val="20"/>
        </w:rPr>
        <w:t xml:space="preserve"> Etage, Avenue </w:t>
      </w:r>
      <w:proofErr w:type="spellStart"/>
      <w:r>
        <w:rPr>
          <w:color w:val="000000"/>
          <w:sz w:val="20"/>
          <w:szCs w:val="20"/>
        </w:rPr>
        <w:t>Mokhtar</w:t>
      </w:r>
      <w:proofErr w:type="spellEnd"/>
      <w:r>
        <w:rPr>
          <w:color w:val="000000"/>
          <w:sz w:val="20"/>
          <w:szCs w:val="20"/>
        </w:rPr>
        <w:t xml:space="preserve"> </w:t>
      </w:r>
      <w:proofErr w:type="spellStart"/>
      <w:r>
        <w:rPr>
          <w:color w:val="000000"/>
          <w:sz w:val="20"/>
          <w:szCs w:val="20"/>
        </w:rPr>
        <w:t>Ould</w:t>
      </w:r>
      <w:proofErr w:type="spellEnd"/>
      <w:r>
        <w:rPr>
          <w:color w:val="000000"/>
          <w:sz w:val="20"/>
          <w:szCs w:val="20"/>
        </w:rPr>
        <w:t xml:space="preserve"> DADAH</w:t>
      </w:r>
    </w:p>
    <w:p w:rsidR="0021130C" w:rsidRDefault="0021130C" w:rsidP="0021130C">
      <w:pPr>
        <w:pStyle w:val="NormalWeb"/>
        <w:jc w:val="both"/>
        <w:rPr>
          <w:color w:val="000000"/>
          <w:sz w:val="20"/>
          <w:szCs w:val="20"/>
        </w:rPr>
      </w:pPr>
      <w:r>
        <w:rPr>
          <w:color w:val="000000"/>
          <w:sz w:val="20"/>
          <w:szCs w:val="20"/>
        </w:rPr>
        <w:t>Nouakchott</w:t>
      </w:r>
      <w:r w:rsidR="004675C9">
        <w:rPr>
          <w:color w:val="000000"/>
          <w:sz w:val="20"/>
          <w:szCs w:val="20"/>
        </w:rPr>
        <w:t xml:space="preserve"> -</w:t>
      </w:r>
      <w:r>
        <w:rPr>
          <w:color w:val="000000"/>
          <w:sz w:val="20"/>
          <w:szCs w:val="20"/>
        </w:rPr>
        <w:t xml:space="preserve"> Mauritanie T</w:t>
      </w:r>
      <w:r w:rsidR="004675C9">
        <w:rPr>
          <w:color w:val="000000"/>
          <w:sz w:val="20"/>
          <w:szCs w:val="20"/>
        </w:rPr>
        <w:t>é</w:t>
      </w:r>
      <w:r>
        <w:rPr>
          <w:color w:val="000000"/>
          <w:sz w:val="20"/>
          <w:szCs w:val="20"/>
        </w:rPr>
        <w:t xml:space="preserve">l : 00 </w:t>
      </w:r>
      <w:r w:rsidR="004675C9">
        <w:rPr>
          <w:color w:val="000000"/>
          <w:sz w:val="20"/>
          <w:szCs w:val="20"/>
        </w:rPr>
        <w:t>(</w:t>
      </w:r>
      <w:r>
        <w:rPr>
          <w:color w:val="000000"/>
          <w:sz w:val="20"/>
          <w:szCs w:val="20"/>
        </w:rPr>
        <w:t>222)</w:t>
      </w:r>
      <w:r w:rsidR="004675C9">
        <w:rPr>
          <w:color w:val="000000"/>
          <w:sz w:val="20"/>
          <w:szCs w:val="20"/>
        </w:rPr>
        <w:t xml:space="preserve"> </w:t>
      </w:r>
      <w:r>
        <w:rPr>
          <w:color w:val="000000"/>
          <w:sz w:val="20"/>
          <w:szCs w:val="20"/>
        </w:rPr>
        <w:t xml:space="preserve">45 24 25 84 / E-mail : </w:t>
      </w:r>
      <w:hyperlink r:id="rId7" w:history="1">
        <w:r>
          <w:rPr>
            <w:rStyle w:val="Lienhypertexte"/>
            <w:sz w:val="20"/>
            <w:szCs w:val="20"/>
          </w:rPr>
          <w:t>CPMPSS@yahoo.fr</w:t>
        </w:r>
      </w:hyperlink>
    </w:p>
    <w:p w:rsidR="00FE0EC0" w:rsidRDefault="00854DD7"/>
    <w:sectPr w:rsidR="00FE0EC0" w:rsidSect="001F5B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22" w:rsidRDefault="00A96A22" w:rsidP="0021130C">
      <w:r>
        <w:separator/>
      </w:r>
    </w:p>
  </w:endnote>
  <w:endnote w:type="continuationSeparator" w:id="1">
    <w:p w:rsidR="00A96A22" w:rsidRDefault="00A96A22" w:rsidP="0021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22" w:rsidRDefault="00A96A22" w:rsidP="0021130C">
      <w:r>
        <w:separator/>
      </w:r>
    </w:p>
  </w:footnote>
  <w:footnote w:type="continuationSeparator" w:id="1">
    <w:p w:rsidR="00A96A22" w:rsidRDefault="00A96A22" w:rsidP="00211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DEC"/>
    <w:multiLevelType w:val="hybridMultilevel"/>
    <w:tmpl w:val="E3DC22DA"/>
    <w:lvl w:ilvl="0" w:tplc="7F1AAEA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33E58"/>
    <w:multiLevelType w:val="hybridMultilevel"/>
    <w:tmpl w:val="DE9EE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D87F18"/>
    <w:multiLevelType w:val="hybridMultilevel"/>
    <w:tmpl w:val="4342C9D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B0670FB"/>
    <w:multiLevelType w:val="singleLevel"/>
    <w:tmpl w:val="917A7378"/>
    <w:lvl w:ilvl="0">
      <w:start w:val="5"/>
      <w:numFmt w:val="bullet"/>
      <w:lvlText w:val="-"/>
      <w:lvlJc w:val="left"/>
      <w:pPr>
        <w:tabs>
          <w:tab w:val="num" w:pos="1428"/>
        </w:tabs>
        <w:ind w:left="1428" w:hanging="360"/>
      </w:pPr>
      <w:rPr>
        <w:rFonts w:ascii="Times New Roman" w:hAnsi="Times New Roman" w:cs="Times New Roman" w:hint="default"/>
      </w:rPr>
    </w:lvl>
  </w:abstractNum>
  <w:abstractNum w:abstractNumId="4">
    <w:nsid w:val="397C7808"/>
    <w:multiLevelType w:val="hybridMultilevel"/>
    <w:tmpl w:val="5E16EC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3C4C7A"/>
    <w:multiLevelType w:val="hybridMultilevel"/>
    <w:tmpl w:val="701C7EF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14E353F"/>
    <w:multiLevelType w:val="hybridMultilevel"/>
    <w:tmpl w:val="88F24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7C71FF"/>
    <w:multiLevelType w:val="hybridMultilevel"/>
    <w:tmpl w:val="23C0F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21130C"/>
    <w:rsid w:val="000124B9"/>
    <w:rsid w:val="0002724F"/>
    <w:rsid w:val="000908F7"/>
    <w:rsid w:val="000D4134"/>
    <w:rsid w:val="00102152"/>
    <w:rsid w:val="0016054C"/>
    <w:rsid w:val="001E61F0"/>
    <w:rsid w:val="001F5B3E"/>
    <w:rsid w:val="0021130C"/>
    <w:rsid w:val="0025553F"/>
    <w:rsid w:val="00293758"/>
    <w:rsid w:val="002C4F2F"/>
    <w:rsid w:val="00434AC9"/>
    <w:rsid w:val="004675C9"/>
    <w:rsid w:val="006032C0"/>
    <w:rsid w:val="0064285F"/>
    <w:rsid w:val="00655465"/>
    <w:rsid w:val="006A1592"/>
    <w:rsid w:val="00725705"/>
    <w:rsid w:val="00726A16"/>
    <w:rsid w:val="00794C73"/>
    <w:rsid w:val="007B098A"/>
    <w:rsid w:val="007D4E9F"/>
    <w:rsid w:val="008C6429"/>
    <w:rsid w:val="008F2ED2"/>
    <w:rsid w:val="008F63C0"/>
    <w:rsid w:val="00905CC9"/>
    <w:rsid w:val="009677FF"/>
    <w:rsid w:val="00986C2A"/>
    <w:rsid w:val="009A0AD9"/>
    <w:rsid w:val="009A714A"/>
    <w:rsid w:val="009C5CA5"/>
    <w:rsid w:val="009E63E1"/>
    <w:rsid w:val="00A53DA2"/>
    <w:rsid w:val="00A61DAC"/>
    <w:rsid w:val="00A96A22"/>
    <w:rsid w:val="00AA1494"/>
    <w:rsid w:val="00AA6B3B"/>
    <w:rsid w:val="00B31287"/>
    <w:rsid w:val="00B741CD"/>
    <w:rsid w:val="00BC5AB7"/>
    <w:rsid w:val="00C40EC8"/>
    <w:rsid w:val="00C52906"/>
    <w:rsid w:val="00CC5D0E"/>
    <w:rsid w:val="00D757FD"/>
    <w:rsid w:val="00E2139C"/>
    <w:rsid w:val="00E903FF"/>
    <w:rsid w:val="00F25F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0C"/>
    <w:pPr>
      <w:widowControl w:val="0"/>
      <w:autoSpaceDE w:val="0"/>
      <w:autoSpaceDN w:val="0"/>
      <w:adjustRightInd w:val="0"/>
      <w:spacing w:after="0" w:line="240" w:lineRule="auto"/>
    </w:pPr>
    <w:rPr>
      <w:rFonts w:ascii="Arial" w:eastAsiaTheme="minorEastAsia"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130C"/>
    <w:rPr>
      <w:color w:val="0000FF"/>
      <w:u w:val="single"/>
    </w:rPr>
  </w:style>
  <w:style w:type="character" w:styleId="lev">
    <w:name w:val="Strong"/>
    <w:basedOn w:val="Policepardfaut"/>
    <w:uiPriority w:val="99"/>
    <w:qFormat/>
    <w:rsid w:val="0021130C"/>
    <w:rPr>
      <w:rFonts w:ascii="Times New Roman" w:hAnsi="Times New Roman" w:cs="Times New Roman" w:hint="default"/>
      <w:b/>
      <w:bCs/>
    </w:rPr>
  </w:style>
  <w:style w:type="paragraph" w:styleId="NormalWeb">
    <w:name w:val="Normal (Web)"/>
    <w:basedOn w:val="Normal"/>
    <w:uiPriority w:val="99"/>
    <w:unhideWhenUsed/>
    <w:rsid w:val="0021130C"/>
    <w:pPr>
      <w:widowControl/>
      <w:autoSpaceDE/>
      <w:autoSpaceDN/>
      <w:adjustRightInd/>
    </w:pPr>
    <w:rPr>
      <w:rFonts w:ascii="Tahoma" w:eastAsia="Times New Roman" w:hAnsi="Tahoma" w:cs="Tahoma"/>
      <w:sz w:val="17"/>
      <w:szCs w:val="17"/>
    </w:rPr>
  </w:style>
  <w:style w:type="paragraph" w:styleId="Notedebasdepage">
    <w:name w:val="footnote text"/>
    <w:basedOn w:val="Normal"/>
    <w:link w:val="NotedebasdepageCar"/>
    <w:uiPriority w:val="99"/>
    <w:semiHidden/>
    <w:unhideWhenUsed/>
    <w:rsid w:val="0021130C"/>
    <w:pPr>
      <w:widowControl/>
      <w:autoSpaceDE/>
      <w:autoSpaceDN/>
      <w:adjustRightInd/>
    </w:pPr>
    <w:rPr>
      <w:rFonts w:ascii="Calibri" w:eastAsia="Calibri" w:hAnsi="Calibri"/>
      <w:lang w:eastAsia="en-US"/>
    </w:rPr>
  </w:style>
  <w:style w:type="character" w:customStyle="1" w:styleId="NotedebasdepageCar">
    <w:name w:val="Note de bas de page Car"/>
    <w:basedOn w:val="Policepardfaut"/>
    <w:link w:val="Notedebasdepage"/>
    <w:uiPriority w:val="99"/>
    <w:semiHidden/>
    <w:rsid w:val="0021130C"/>
    <w:rPr>
      <w:rFonts w:ascii="Calibri" w:eastAsia="Calibri" w:hAnsi="Calibri" w:cs="Arial"/>
      <w:sz w:val="20"/>
      <w:szCs w:val="20"/>
    </w:rPr>
  </w:style>
  <w:style w:type="character" w:styleId="Appelnotedebasdep">
    <w:name w:val="footnote reference"/>
    <w:basedOn w:val="Policepardfaut"/>
    <w:semiHidden/>
    <w:unhideWhenUsed/>
    <w:rsid w:val="0021130C"/>
    <w:rPr>
      <w:vertAlign w:val="superscript"/>
    </w:rPr>
  </w:style>
  <w:style w:type="paragraph" w:styleId="Paragraphedeliste">
    <w:name w:val="List Paragraph"/>
    <w:basedOn w:val="Normal"/>
    <w:uiPriority w:val="34"/>
    <w:qFormat/>
    <w:rsid w:val="009677FF"/>
    <w:pPr>
      <w:ind w:left="720"/>
      <w:contextualSpacing/>
    </w:pPr>
  </w:style>
</w:styles>
</file>

<file path=word/webSettings.xml><?xml version="1.0" encoding="utf-8"?>
<w:webSettings xmlns:r="http://schemas.openxmlformats.org/officeDocument/2006/relationships" xmlns:w="http://schemas.openxmlformats.org/wordprocessingml/2006/main">
  <w:divs>
    <w:div w:id="13218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mdgi@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top-technology</dc:creator>
  <cp:lastModifiedBy>admin</cp:lastModifiedBy>
  <cp:revision>2</cp:revision>
  <dcterms:created xsi:type="dcterms:W3CDTF">2014-03-03T09:27:00Z</dcterms:created>
  <dcterms:modified xsi:type="dcterms:W3CDTF">2014-03-03T09:27:00Z</dcterms:modified>
</cp:coreProperties>
</file>