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4C" w:rsidRPr="00EC1D05" w:rsidRDefault="008A104C" w:rsidP="008A104C">
      <w:pPr>
        <w:pStyle w:val="Titre1"/>
        <w:jc w:val="center"/>
        <w:rPr>
          <w:rFonts w:ascii="Times New Roman" w:hAnsi="Times New Roman"/>
        </w:rPr>
      </w:pPr>
      <w:r w:rsidRPr="00EC1D05">
        <w:rPr>
          <w:rFonts w:ascii="Times New Roman" w:hAnsi="Times New Roman"/>
        </w:rPr>
        <w:t xml:space="preserve">Avis d’Appel d’offres </w:t>
      </w:r>
      <w:r>
        <w:rPr>
          <w:rFonts w:ascii="Times New Roman" w:hAnsi="Times New Roman"/>
        </w:rPr>
        <w:t xml:space="preserve">International </w:t>
      </w:r>
      <w:r w:rsidRPr="00EC1D05">
        <w:rPr>
          <w:rFonts w:ascii="Times New Roman" w:hAnsi="Times New Roman"/>
        </w:rPr>
        <w:t>(AA0</w:t>
      </w:r>
      <w:r>
        <w:rPr>
          <w:rFonts w:ascii="Times New Roman" w:hAnsi="Times New Roman"/>
        </w:rPr>
        <w:t>I</w:t>
      </w:r>
      <w:r w:rsidRPr="00EC1D05">
        <w:rPr>
          <w:rFonts w:ascii="Times New Roman" w:hAnsi="Times New Roman"/>
        </w:rPr>
        <w:t>)</w:t>
      </w:r>
    </w:p>
    <w:p w:rsidR="008A104C" w:rsidRPr="00EC1D05" w:rsidRDefault="008A104C" w:rsidP="008A104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104C" w:rsidRPr="008A104C" w:rsidRDefault="008A104C" w:rsidP="008A104C">
      <w:pPr>
        <w:ind w:left="6372"/>
        <w:rPr>
          <w:rFonts w:ascii="Times New Roman" w:hAnsi="Times New Roman"/>
          <w:b/>
          <w:szCs w:val="24"/>
          <w:lang w:val="en-US"/>
        </w:rPr>
      </w:pPr>
      <w:r w:rsidRPr="008A104C">
        <w:rPr>
          <w:rFonts w:ascii="Times New Roman" w:hAnsi="Times New Roman"/>
          <w:b/>
          <w:i/>
          <w:iCs/>
          <w:szCs w:val="24"/>
          <w:lang w:val="en-US"/>
        </w:rPr>
        <w:t xml:space="preserve">Date: </w:t>
      </w:r>
      <w:r w:rsidRPr="008A104C">
        <w:rPr>
          <w:rFonts w:ascii="Times New Roman" w:hAnsi="Times New Roman"/>
          <w:b/>
          <w:szCs w:val="24"/>
          <w:lang w:val="en-US"/>
        </w:rPr>
        <w:t>16/06/2013</w:t>
      </w:r>
    </w:p>
    <w:p w:rsidR="008A104C" w:rsidRPr="002B6F2E" w:rsidRDefault="008A104C" w:rsidP="008A104C">
      <w:pPr>
        <w:ind w:left="6372"/>
        <w:rPr>
          <w:rFonts w:ascii="Times New Roman" w:hAnsi="Times New Roman"/>
          <w:b/>
          <w:i/>
          <w:iCs/>
          <w:szCs w:val="24"/>
          <w:lang w:val="en-US"/>
        </w:rPr>
      </w:pPr>
      <w:r w:rsidRPr="002B6F2E">
        <w:rPr>
          <w:rFonts w:ascii="Times New Roman" w:hAnsi="Times New Roman"/>
          <w:b/>
          <w:i/>
          <w:iCs/>
          <w:szCs w:val="24"/>
          <w:lang w:val="en-US"/>
        </w:rPr>
        <w:t>Prêt No:</w:t>
      </w:r>
      <w:r>
        <w:rPr>
          <w:rFonts w:ascii="Times New Roman" w:hAnsi="Times New Roman"/>
          <w:b/>
          <w:i/>
          <w:iCs/>
          <w:szCs w:val="24"/>
          <w:lang w:val="en-US"/>
        </w:rPr>
        <w:t xml:space="preserve"> 817</w:t>
      </w:r>
    </w:p>
    <w:p w:rsidR="008A104C" w:rsidRPr="00736320" w:rsidRDefault="008A104C" w:rsidP="008A104C">
      <w:pPr>
        <w:jc w:val="right"/>
        <w:rPr>
          <w:rFonts w:ascii="Times New Roman" w:hAnsi="Times New Roman"/>
          <w:b/>
          <w:i/>
          <w:iCs/>
          <w:szCs w:val="24"/>
          <w:lang w:val="en-US"/>
        </w:rPr>
      </w:pPr>
      <w:r w:rsidRPr="00736320">
        <w:rPr>
          <w:rFonts w:ascii="Times New Roman" w:hAnsi="Times New Roman"/>
          <w:b/>
          <w:i/>
          <w:iCs/>
          <w:szCs w:val="24"/>
          <w:lang w:val="en-US"/>
        </w:rPr>
        <w:t>DAO</w:t>
      </w:r>
      <w:r>
        <w:rPr>
          <w:rFonts w:ascii="Times New Roman" w:hAnsi="Times New Roman"/>
          <w:b/>
          <w:i/>
          <w:iCs/>
          <w:szCs w:val="24"/>
          <w:lang w:val="en-US"/>
        </w:rPr>
        <w:t>I</w:t>
      </w:r>
      <w:r w:rsidRPr="00736320">
        <w:rPr>
          <w:rFonts w:ascii="Times New Roman" w:hAnsi="Times New Roman"/>
          <w:b/>
          <w:i/>
          <w:iCs/>
          <w:szCs w:val="24"/>
          <w:lang w:val="en-US"/>
        </w:rPr>
        <w:t xml:space="preserve"> No:  130/DPEF/PNDSE/2013</w:t>
      </w:r>
    </w:p>
    <w:p w:rsidR="008A104C" w:rsidRPr="00EC1D05" w:rsidRDefault="008A104C" w:rsidP="008A104C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  <w:highlight w:val="yellow"/>
        </w:rPr>
      </w:pPr>
      <w:r w:rsidRPr="00EC1D05">
        <w:rPr>
          <w:rFonts w:ascii="Times New Roman" w:hAnsi="Times New Roman"/>
          <w:sz w:val="24"/>
          <w:szCs w:val="24"/>
        </w:rPr>
        <w:t>Cet Avi</w:t>
      </w:r>
      <w:r>
        <w:rPr>
          <w:rFonts w:ascii="Times New Roman" w:hAnsi="Times New Roman"/>
          <w:sz w:val="24"/>
          <w:szCs w:val="24"/>
        </w:rPr>
        <w:t>s d’appel d’offres</w:t>
      </w:r>
      <w:r>
        <w:rPr>
          <w:rFonts w:ascii="Times New Roman" w:hAnsi="Times New Roman"/>
          <w:sz w:val="24"/>
          <w:szCs w:val="24"/>
        </w:rPr>
        <w:t xml:space="preserve"> International,</w:t>
      </w:r>
      <w:r>
        <w:rPr>
          <w:rFonts w:ascii="Times New Roman" w:hAnsi="Times New Roman"/>
          <w:sz w:val="24"/>
          <w:szCs w:val="24"/>
        </w:rPr>
        <w:t xml:space="preserve"> fait suite au Plan prévisionnel </w:t>
      </w:r>
      <w:r w:rsidRPr="00EC1D05">
        <w:rPr>
          <w:rFonts w:ascii="Times New Roman" w:hAnsi="Times New Roman"/>
          <w:sz w:val="24"/>
          <w:szCs w:val="24"/>
        </w:rPr>
        <w:t xml:space="preserve">de Passation des Marchés paru dans </w:t>
      </w:r>
      <w:r w:rsidRPr="00D7722F">
        <w:rPr>
          <w:rFonts w:ascii="Times New Roman" w:hAnsi="Times New Roman"/>
          <w:sz w:val="24"/>
          <w:szCs w:val="24"/>
        </w:rPr>
        <w:t xml:space="preserve">le journal Horizon </w:t>
      </w:r>
      <w:r w:rsidRPr="00D7722F">
        <w:rPr>
          <w:rFonts w:ascii="Times New Roman" w:hAnsi="Times New Roman"/>
          <w:i/>
          <w:iCs/>
          <w:sz w:val="24"/>
          <w:szCs w:val="24"/>
        </w:rPr>
        <w:t xml:space="preserve">N° </w:t>
      </w:r>
      <w:r>
        <w:rPr>
          <w:rFonts w:ascii="Times New Roman" w:hAnsi="Times New Roman"/>
          <w:i/>
          <w:iCs/>
          <w:sz w:val="24"/>
          <w:szCs w:val="24"/>
        </w:rPr>
        <w:t>6027, e</w:t>
      </w:r>
      <w:r w:rsidRPr="00D7722F">
        <w:rPr>
          <w:rFonts w:ascii="Times New Roman" w:hAnsi="Times New Roman"/>
          <w:i/>
          <w:iCs/>
          <w:sz w:val="24"/>
          <w:szCs w:val="24"/>
        </w:rPr>
        <w:t xml:space="preserve">n date du </w:t>
      </w:r>
      <w:r>
        <w:rPr>
          <w:rFonts w:ascii="Times New Roman" w:hAnsi="Times New Roman"/>
          <w:i/>
          <w:iCs/>
          <w:sz w:val="24"/>
          <w:szCs w:val="24"/>
        </w:rPr>
        <w:t>jeudi 13/06/2013 et sur le site web : www.pmd.mr/</w:t>
      </w:r>
    </w:p>
    <w:p w:rsidR="008A104C" w:rsidRPr="00EC1D05" w:rsidRDefault="008A104C" w:rsidP="008A104C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1D05">
        <w:rPr>
          <w:rFonts w:ascii="Times New Roman" w:hAnsi="Times New Roman"/>
          <w:sz w:val="24"/>
          <w:szCs w:val="24"/>
        </w:rPr>
        <w:t xml:space="preserve">Le Gouvernement de la République Islamique de Mauritanie a obtenu un prêt du Fonds Koweitien de Développement Economique Arabe pour financer une partie du Projet de Développement de l’Enseignement Supérieur, et a l’intention d’utiliser une partie de ce prêt pour effectuer des paiements au titre du Marché de </w:t>
      </w:r>
      <w:r w:rsidRPr="00EC1D05">
        <w:rPr>
          <w:rFonts w:ascii="Times New Roman" w:hAnsi="Times New Roman"/>
          <w:b/>
          <w:bCs/>
          <w:sz w:val="24"/>
          <w:szCs w:val="24"/>
        </w:rPr>
        <w:t xml:space="preserve">Fourniture </w:t>
      </w:r>
      <w:r>
        <w:rPr>
          <w:rFonts w:ascii="Times New Roman" w:hAnsi="Times New Roman"/>
          <w:b/>
          <w:bCs/>
          <w:sz w:val="24"/>
          <w:szCs w:val="24"/>
        </w:rPr>
        <w:t xml:space="preserve">et installation </w:t>
      </w:r>
      <w:r w:rsidRPr="00EC1D05">
        <w:rPr>
          <w:rFonts w:ascii="Times New Roman" w:hAnsi="Times New Roman"/>
          <w:b/>
          <w:bCs/>
          <w:sz w:val="24"/>
          <w:szCs w:val="24"/>
        </w:rPr>
        <w:t>des équipements pour la faculté des lettres et sciences humaines de l’Université de Nouakchott.</w:t>
      </w:r>
    </w:p>
    <w:p w:rsidR="008A104C" w:rsidRPr="00EC1D05" w:rsidRDefault="008A104C" w:rsidP="008A104C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C1D05">
        <w:rPr>
          <w:rFonts w:ascii="Times New Roman" w:hAnsi="Times New Roman"/>
          <w:sz w:val="24"/>
          <w:szCs w:val="24"/>
        </w:rPr>
        <w:t>La Direction des Projets Eduction Formation sollicite des offres sous pli</w:t>
      </w:r>
      <w:r>
        <w:rPr>
          <w:rFonts w:ascii="Times New Roman" w:hAnsi="Times New Roman"/>
          <w:sz w:val="24"/>
          <w:szCs w:val="24"/>
        </w:rPr>
        <w:t>s</w:t>
      </w:r>
      <w:r w:rsidRPr="00EC1D05">
        <w:rPr>
          <w:rFonts w:ascii="Times New Roman" w:hAnsi="Times New Roman"/>
          <w:sz w:val="24"/>
          <w:szCs w:val="24"/>
        </w:rPr>
        <w:t xml:space="preserve"> fermé</w:t>
      </w:r>
      <w:r>
        <w:rPr>
          <w:rFonts w:ascii="Times New Roman" w:hAnsi="Times New Roman"/>
          <w:sz w:val="24"/>
          <w:szCs w:val="24"/>
        </w:rPr>
        <w:t>s</w:t>
      </w:r>
      <w:r w:rsidRPr="00EC1D05">
        <w:rPr>
          <w:rFonts w:ascii="Times New Roman" w:hAnsi="Times New Roman"/>
          <w:sz w:val="24"/>
          <w:szCs w:val="24"/>
        </w:rPr>
        <w:t xml:space="preserve"> de la part de candidats éligibles et répondant aux qualifications requises pour </w:t>
      </w:r>
      <w:r>
        <w:rPr>
          <w:rFonts w:ascii="Times New Roman" w:hAnsi="Times New Roman"/>
          <w:sz w:val="24"/>
          <w:szCs w:val="24"/>
        </w:rPr>
        <w:t xml:space="preserve">la </w:t>
      </w:r>
      <w:r w:rsidRPr="00EC1D05">
        <w:rPr>
          <w:rFonts w:ascii="Times New Roman" w:hAnsi="Times New Roman"/>
          <w:b/>
          <w:bCs/>
          <w:sz w:val="24"/>
          <w:szCs w:val="24"/>
        </w:rPr>
        <w:t>fourni</w:t>
      </w:r>
      <w:r>
        <w:rPr>
          <w:rFonts w:ascii="Times New Roman" w:hAnsi="Times New Roman"/>
          <w:b/>
          <w:bCs/>
          <w:sz w:val="24"/>
          <w:szCs w:val="24"/>
        </w:rPr>
        <w:t>ture et l’installation de</w:t>
      </w:r>
      <w:r w:rsidRPr="00EC1D05">
        <w:rPr>
          <w:rFonts w:ascii="Times New Roman" w:hAnsi="Times New Roman"/>
          <w:b/>
          <w:bCs/>
          <w:sz w:val="24"/>
          <w:szCs w:val="24"/>
        </w:rPr>
        <w:t xml:space="preserve">s équipements à la faculté des lettres et sciences humaines de l’Université de Nouakchott  en 3 lots </w:t>
      </w:r>
      <w:r>
        <w:rPr>
          <w:rFonts w:ascii="Times New Roman" w:hAnsi="Times New Roman"/>
          <w:b/>
          <w:bCs/>
          <w:sz w:val="24"/>
          <w:szCs w:val="24"/>
        </w:rPr>
        <w:t>séparés</w:t>
      </w:r>
      <w:r w:rsidRPr="00EC1D05">
        <w:rPr>
          <w:rFonts w:ascii="Times New Roman" w:hAnsi="Times New Roman"/>
          <w:b/>
          <w:bCs/>
          <w:sz w:val="24"/>
          <w:szCs w:val="24"/>
        </w:rPr>
        <w:t> :</w:t>
      </w:r>
    </w:p>
    <w:p w:rsidR="008A104C" w:rsidRDefault="008A104C" w:rsidP="008A104C">
      <w:pPr>
        <w:spacing w:line="240" w:lineRule="auto"/>
        <w:ind w:left="1428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6552"/>
      </w:tblGrid>
      <w:tr w:rsidR="008A104C" w:rsidRPr="0018598A" w:rsidTr="003244D4">
        <w:trPr>
          <w:trHeight w:val="603"/>
        </w:trPr>
        <w:tc>
          <w:tcPr>
            <w:tcW w:w="1731" w:type="dxa"/>
            <w:shd w:val="clear" w:color="auto" w:fill="auto"/>
            <w:vAlign w:val="center"/>
          </w:tcPr>
          <w:p w:rsidR="008A104C" w:rsidRPr="0018598A" w:rsidRDefault="008A104C" w:rsidP="003244D4">
            <w:pPr>
              <w:tabs>
                <w:tab w:val="right" w:pos="7254"/>
              </w:tabs>
              <w:spacing w:before="120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18598A">
              <w:rPr>
                <w:rFonts w:ascii="Times New Roman" w:hAnsi="Times New Roman"/>
                <w:b/>
                <w:bCs/>
                <w:iCs/>
                <w:u w:val="single"/>
              </w:rPr>
              <w:t>N° lot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8A104C" w:rsidRPr="0018598A" w:rsidRDefault="008A104C" w:rsidP="003244D4">
            <w:pPr>
              <w:tabs>
                <w:tab w:val="right" w:pos="7254"/>
              </w:tabs>
              <w:spacing w:before="120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18598A">
              <w:rPr>
                <w:rFonts w:ascii="Times New Roman" w:hAnsi="Times New Roman"/>
                <w:b/>
                <w:bCs/>
                <w:iCs/>
                <w:u w:val="single"/>
              </w:rPr>
              <w:t>Identification</w:t>
            </w:r>
          </w:p>
        </w:tc>
      </w:tr>
      <w:tr w:rsidR="008A104C" w:rsidRPr="0018598A" w:rsidTr="003244D4">
        <w:trPr>
          <w:trHeight w:val="618"/>
        </w:trPr>
        <w:tc>
          <w:tcPr>
            <w:tcW w:w="1731" w:type="dxa"/>
            <w:shd w:val="clear" w:color="auto" w:fill="auto"/>
            <w:vAlign w:val="center"/>
          </w:tcPr>
          <w:p w:rsidR="008A104C" w:rsidRPr="0018598A" w:rsidRDefault="008A104C" w:rsidP="003244D4">
            <w:pPr>
              <w:tabs>
                <w:tab w:val="right" w:pos="7254"/>
              </w:tabs>
              <w:spacing w:before="120"/>
              <w:rPr>
                <w:rFonts w:ascii="Times New Roman" w:hAnsi="Times New Roman"/>
                <w:iCs/>
              </w:rPr>
            </w:pPr>
            <w:r w:rsidRPr="0018598A">
              <w:rPr>
                <w:rFonts w:ascii="Times New Roman" w:hAnsi="Times New Roman"/>
                <w:b/>
                <w:bCs/>
              </w:rPr>
              <w:t>Lot n°1 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8A104C" w:rsidRPr="0018598A" w:rsidRDefault="008A104C" w:rsidP="003244D4">
            <w:pPr>
              <w:tabs>
                <w:tab w:val="right" w:pos="7254"/>
              </w:tabs>
              <w:spacing w:before="120"/>
              <w:rPr>
                <w:rFonts w:ascii="Times New Roman" w:hAnsi="Times New Roman"/>
                <w:iCs/>
              </w:rPr>
            </w:pPr>
            <w:r w:rsidRPr="0018598A">
              <w:rPr>
                <w:rFonts w:ascii="Times New Roman" w:hAnsi="Times New Roman"/>
                <w:b/>
                <w:bCs/>
              </w:rPr>
              <w:t>Matériels informatiques et de reprographie</w:t>
            </w:r>
          </w:p>
        </w:tc>
      </w:tr>
      <w:tr w:rsidR="008A104C" w:rsidRPr="0018598A" w:rsidTr="003244D4">
        <w:trPr>
          <w:trHeight w:val="603"/>
        </w:trPr>
        <w:tc>
          <w:tcPr>
            <w:tcW w:w="1731" w:type="dxa"/>
            <w:shd w:val="clear" w:color="auto" w:fill="auto"/>
            <w:vAlign w:val="center"/>
          </w:tcPr>
          <w:p w:rsidR="008A104C" w:rsidRPr="0018598A" w:rsidRDefault="008A104C" w:rsidP="003244D4">
            <w:pPr>
              <w:tabs>
                <w:tab w:val="right" w:pos="7254"/>
              </w:tabs>
              <w:spacing w:before="120"/>
              <w:rPr>
                <w:rFonts w:ascii="Times New Roman" w:hAnsi="Times New Roman"/>
                <w:iCs/>
              </w:rPr>
            </w:pPr>
            <w:r w:rsidRPr="0018598A">
              <w:rPr>
                <w:rFonts w:ascii="Times New Roman" w:hAnsi="Times New Roman"/>
                <w:b/>
                <w:bCs/>
              </w:rPr>
              <w:t>Lot n°2 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8A104C" w:rsidRPr="0018598A" w:rsidRDefault="008A104C" w:rsidP="003244D4">
            <w:pPr>
              <w:tabs>
                <w:tab w:val="right" w:pos="7254"/>
              </w:tabs>
              <w:spacing w:before="120"/>
              <w:rPr>
                <w:rFonts w:ascii="Times New Roman" w:hAnsi="Times New Roman"/>
                <w:iCs/>
              </w:rPr>
            </w:pPr>
            <w:r w:rsidRPr="0018598A">
              <w:rPr>
                <w:rFonts w:ascii="Times New Roman" w:hAnsi="Times New Roman"/>
                <w:b/>
                <w:bCs/>
              </w:rPr>
              <w:t>Matériels de bureaux  et équipements des classes</w:t>
            </w:r>
          </w:p>
        </w:tc>
      </w:tr>
      <w:tr w:rsidR="008A104C" w:rsidRPr="0018598A" w:rsidTr="003244D4">
        <w:trPr>
          <w:trHeight w:val="618"/>
        </w:trPr>
        <w:tc>
          <w:tcPr>
            <w:tcW w:w="1731" w:type="dxa"/>
            <w:shd w:val="clear" w:color="auto" w:fill="auto"/>
            <w:vAlign w:val="center"/>
          </w:tcPr>
          <w:p w:rsidR="008A104C" w:rsidRPr="0018598A" w:rsidRDefault="008A104C" w:rsidP="003244D4">
            <w:pPr>
              <w:tabs>
                <w:tab w:val="right" w:pos="7254"/>
              </w:tabs>
              <w:spacing w:before="120"/>
              <w:rPr>
                <w:rFonts w:ascii="Times New Roman" w:hAnsi="Times New Roman"/>
                <w:iCs/>
              </w:rPr>
            </w:pPr>
            <w:r w:rsidRPr="0018598A">
              <w:rPr>
                <w:rFonts w:ascii="Times New Roman" w:hAnsi="Times New Roman"/>
                <w:b/>
                <w:bCs/>
              </w:rPr>
              <w:t>Lot n°3 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8A104C" w:rsidRPr="0018598A" w:rsidRDefault="008A104C" w:rsidP="003244D4">
            <w:pPr>
              <w:tabs>
                <w:tab w:val="right" w:pos="7254"/>
              </w:tabs>
              <w:spacing w:before="120"/>
              <w:rPr>
                <w:rFonts w:ascii="Times New Roman" w:hAnsi="Times New Roman"/>
                <w:iCs/>
              </w:rPr>
            </w:pPr>
            <w:r w:rsidRPr="0018598A">
              <w:rPr>
                <w:rFonts w:ascii="Times New Roman" w:hAnsi="Times New Roman"/>
                <w:b/>
                <w:bCs/>
              </w:rPr>
              <w:t>Equipements amphithéâtres</w:t>
            </w:r>
          </w:p>
        </w:tc>
      </w:tr>
    </w:tbl>
    <w:p w:rsidR="008A104C" w:rsidRDefault="008A104C" w:rsidP="008A104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104C" w:rsidRPr="00EC1D05" w:rsidRDefault="008A104C" w:rsidP="008A104C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1D05">
        <w:rPr>
          <w:rFonts w:ascii="Times New Roman" w:hAnsi="Times New Roman"/>
          <w:sz w:val="24"/>
          <w:szCs w:val="24"/>
        </w:rPr>
        <w:t>La passation du Marché sera conduite par Appel d’</w:t>
      </w:r>
      <w:r>
        <w:rPr>
          <w:rFonts w:ascii="Times New Roman" w:hAnsi="Times New Roman"/>
          <w:sz w:val="24"/>
          <w:szCs w:val="24"/>
        </w:rPr>
        <w:t>O</w:t>
      </w:r>
      <w:r w:rsidRPr="00EC1D05">
        <w:rPr>
          <w:rFonts w:ascii="Times New Roman" w:hAnsi="Times New Roman"/>
          <w:sz w:val="24"/>
          <w:szCs w:val="24"/>
        </w:rPr>
        <w:t>ffres</w:t>
      </w:r>
      <w:r>
        <w:rPr>
          <w:rFonts w:ascii="Times New Roman" w:hAnsi="Times New Roman"/>
          <w:sz w:val="24"/>
          <w:szCs w:val="24"/>
        </w:rPr>
        <w:t xml:space="preserve"> International</w:t>
      </w:r>
      <w:r w:rsidRPr="00EC1D05">
        <w:rPr>
          <w:rFonts w:ascii="Times New Roman" w:hAnsi="Times New Roman"/>
          <w:sz w:val="24"/>
          <w:szCs w:val="24"/>
        </w:rPr>
        <w:t xml:space="preserve"> tel que défini dans le Code des Marchés publics</w:t>
      </w:r>
      <w:r w:rsidRPr="00EC1D05">
        <w:rPr>
          <w:rFonts w:ascii="Times New Roman" w:hAnsi="Times New Roman"/>
          <w:i/>
          <w:iCs/>
          <w:sz w:val="24"/>
          <w:szCs w:val="24"/>
        </w:rPr>
        <w:t>,</w:t>
      </w:r>
      <w:r w:rsidRPr="00EC1D05">
        <w:rPr>
          <w:rFonts w:ascii="Times New Roman" w:hAnsi="Times New Roman"/>
          <w:sz w:val="24"/>
          <w:szCs w:val="24"/>
        </w:rPr>
        <w:t xml:space="preserve"> et ouvert à tous les candidats éligibles. </w:t>
      </w:r>
    </w:p>
    <w:p w:rsidR="008A104C" w:rsidRPr="009020A8" w:rsidRDefault="008A104C" w:rsidP="008A104C">
      <w:pPr>
        <w:numPr>
          <w:ilvl w:val="0"/>
          <w:numId w:val="1"/>
        </w:numPr>
        <w:autoSpaceDN w:val="0"/>
        <w:spacing w:line="240" w:lineRule="auto"/>
        <w:ind w:left="0" w:firstLine="0"/>
        <w:jc w:val="both"/>
      </w:pPr>
      <w:r w:rsidRPr="009020A8">
        <w:t xml:space="preserve">Les candidats intéressés peuvent obtenir des informations auprès </w:t>
      </w:r>
      <w:r w:rsidRPr="009020A8">
        <w:rPr>
          <w:b/>
          <w:bCs/>
        </w:rPr>
        <w:t>de la Direction des Projet Education – Formation, Ministère d’Etat à l’Education Nationale, à l’Enseignement Supérieur et à la Recherche Scientifique  ; auprès de Mon</w:t>
      </w:r>
      <w:r>
        <w:rPr>
          <w:b/>
          <w:bCs/>
        </w:rPr>
        <w:t xml:space="preserve">sieur Mohamed </w:t>
      </w:r>
      <w:proofErr w:type="spellStart"/>
      <w:r>
        <w:rPr>
          <w:b/>
          <w:bCs/>
        </w:rPr>
        <w:t>Ould</w:t>
      </w:r>
      <w:proofErr w:type="spellEnd"/>
      <w:r>
        <w:rPr>
          <w:b/>
          <w:bCs/>
        </w:rPr>
        <w:t xml:space="preserve"> Sidi Mohamed </w:t>
      </w:r>
      <w:r w:rsidRPr="009020A8">
        <w:rPr>
          <w:b/>
          <w:bCs/>
        </w:rPr>
        <w:t xml:space="preserve">, E-mail : </w:t>
      </w:r>
      <w:hyperlink r:id="rId5" w:history="1">
        <w:r w:rsidRPr="009020A8">
          <w:rPr>
            <w:rStyle w:val="Lienhypertexte"/>
          </w:rPr>
          <w:t>mosm@dpef.mr</w:t>
        </w:r>
      </w:hyperlink>
      <w:r w:rsidRPr="009020A8">
        <w:t xml:space="preserve"> et prendre connaissance des documents d’Appel d’offres à </w:t>
      </w:r>
      <w:r w:rsidRPr="009020A8">
        <w:rPr>
          <w:b/>
          <w:bCs/>
        </w:rPr>
        <w:t xml:space="preserve"> l’adresse (i)mentionnée ci-dessous (Direction des Projet Education – Formation, BP : 6541  Téléphone (222) 45 25 20 63 ; (222) 45 29 12 03 &amp; 45 29 12 04, Fax : (222) 45 25 15 13 ) , </w:t>
      </w:r>
      <w:r w:rsidRPr="009020A8">
        <w:t xml:space="preserve"> de 09 Heures du matin à 16 heures de l’après Midi (Heure GMT), pendant les jours ouvrables.</w:t>
      </w:r>
    </w:p>
    <w:p w:rsidR="008A104C" w:rsidRDefault="008A104C" w:rsidP="008A104C">
      <w:pPr>
        <w:numPr>
          <w:ilvl w:val="0"/>
          <w:numId w:val="1"/>
        </w:numPr>
        <w:autoSpaceDN w:val="0"/>
        <w:spacing w:line="240" w:lineRule="auto"/>
        <w:ind w:left="0" w:firstLine="0"/>
        <w:jc w:val="both"/>
        <w:rPr>
          <w:b/>
          <w:bCs/>
        </w:rPr>
      </w:pPr>
      <w:r w:rsidRPr="009020A8">
        <w:t xml:space="preserve">Les candidats intéressés peuvent obtenir un dossier d’Appel d’offres complet en  formulant une demande écrite à l’adresse mentionnée </w:t>
      </w:r>
      <w:r>
        <w:t xml:space="preserve">(i) </w:t>
      </w:r>
      <w:r w:rsidRPr="009020A8">
        <w:t>ci-dess</w:t>
      </w:r>
      <w:r>
        <w:t>o</w:t>
      </w:r>
      <w:r w:rsidRPr="009020A8">
        <w:t xml:space="preserve">us contre un paiement non remboursable de </w:t>
      </w:r>
      <w:r>
        <w:rPr>
          <w:b/>
          <w:bCs/>
        </w:rPr>
        <w:t>3</w:t>
      </w:r>
      <w:r w:rsidRPr="009020A8">
        <w:rPr>
          <w:b/>
          <w:bCs/>
        </w:rPr>
        <w:t xml:space="preserve">0.000 </w:t>
      </w:r>
      <w:r w:rsidRPr="009020A8">
        <w:rPr>
          <w:b/>
          <w:bCs/>
        </w:rPr>
        <w:lastRenderedPageBreak/>
        <w:t>Ouguiyas, ou sa contre-valeur en monnaie librement convertible au compte bancaire ouvert au nom de la DPEF </w:t>
      </w:r>
      <w:r>
        <w:rPr>
          <w:b/>
          <w:bCs/>
        </w:rPr>
        <w:t>à la BMCI</w:t>
      </w:r>
      <w:r w:rsidRPr="009020A8">
        <w:rPr>
          <w:b/>
          <w:bCs/>
        </w:rPr>
        <w:t>, Nouakchott</w:t>
      </w:r>
      <w:r>
        <w:rPr>
          <w:b/>
          <w:bCs/>
        </w:rPr>
        <w:t>, dont les coordonnées sont les suivantes :</w:t>
      </w:r>
    </w:p>
    <w:tbl>
      <w:tblPr>
        <w:tblW w:w="7660" w:type="dxa"/>
        <w:tblInd w:w="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1"/>
        <w:gridCol w:w="2020"/>
        <w:gridCol w:w="2214"/>
        <w:gridCol w:w="1115"/>
      </w:tblGrid>
      <w:tr w:rsidR="008A104C" w:rsidRPr="00617C4A" w:rsidTr="003244D4">
        <w:trPr>
          <w:trHeight w:val="405"/>
        </w:trPr>
        <w:tc>
          <w:tcPr>
            <w:tcW w:w="7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104C" w:rsidRPr="00617C4A" w:rsidRDefault="008A104C" w:rsidP="003244D4">
            <w:pPr>
              <w:jc w:val="center"/>
              <w:rPr>
                <w:color w:val="000000"/>
              </w:rPr>
            </w:pPr>
            <w:r w:rsidRPr="00617C4A">
              <w:rPr>
                <w:color w:val="000000"/>
              </w:rPr>
              <w:t xml:space="preserve">BANQUE MAURITANIENNE POUR LE COMMERCE INTERNATIONAL </w:t>
            </w:r>
          </w:p>
        </w:tc>
      </w:tr>
      <w:tr w:rsidR="008A104C" w:rsidRPr="00617C4A" w:rsidTr="003244D4">
        <w:trPr>
          <w:trHeight w:val="405"/>
        </w:trPr>
        <w:tc>
          <w:tcPr>
            <w:tcW w:w="76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4C" w:rsidRPr="00617C4A" w:rsidRDefault="008A104C" w:rsidP="003244D4">
            <w:pPr>
              <w:jc w:val="center"/>
              <w:rPr>
                <w:color w:val="000000"/>
              </w:rPr>
            </w:pPr>
            <w:r w:rsidRPr="00617C4A">
              <w:rPr>
                <w:color w:val="000000"/>
              </w:rPr>
              <w:t>Références bancaires</w:t>
            </w:r>
          </w:p>
        </w:tc>
      </w:tr>
      <w:tr w:rsidR="008A104C" w:rsidRPr="00617C4A" w:rsidTr="003244D4">
        <w:trPr>
          <w:trHeight w:val="40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04C" w:rsidRPr="00617C4A" w:rsidRDefault="008A104C" w:rsidP="003244D4">
            <w:pPr>
              <w:jc w:val="center"/>
              <w:rPr>
                <w:b/>
                <w:bCs/>
                <w:color w:val="000000"/>
              </w:rPr>
            </w:pPr>
            <w:r w:rsidRPr="00617C4A">
              <w:rPr>
                <w:b/>
                <w:bCs/>
                <w:color w:val="000000"/>
              </w:rPr>
              <w:t>Code banque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04C" w:rsidRPr="00617C4A" w:rsidRDefault="008A104C" w:rsidP="003244D4">
            <w:pPr>
              <w:jc w:val="center"/>
              <w:rPr>
                <w:b/>
                <w:bCs/>
                <w:color w:val="000000"/>
              </w:rPr>
            </w:pPr>
            <w:r w:rsidRPr="00617C4A">
              <w:rPr>
                <w:b/>
                <w:bCs/>
                <w:color w:val="000000"/>
              </w:rPr>
              <w:t>Code agence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04C" w:rsidRPr="00617C4A" w:rsidRDefault="008A104C" w:rsidP="003244D4">
            <w:pPr>
              <w:jc w:val="center"/>
              <w:rPr>
                <w:b/>
                <w:bCs/>
                <w:color w:val="000000"/>
              </w:rPr>
            </w:pPr>
            <w:r w:rsidRPr="00617C4A">
              <w:rPr>
                <w:b/>
                <w:bCs/>
                <w:color w:val="000000"/>
              </w:rPr>
              <w:t xml:space="preserve">N° du compte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04C" w:rsidRPr="00617C4A" w:rsidRDefault="008A104C" w:rsidP="003244D4">
            <w:pPr>
              <w:jc w:val="center"/>
              <w:rPr>
                <w:b/>
                <w:bCs/>
                <w:color w:val="000000"/>
              </w:rPr>
            </w:pPr>
            <w:r w:rsidRPr="00617C4A">
              <w:rPr>
                <w:b/>
                <w:bCs/>
                <w:color w:val="000000"/>
              </w:rPr>
              <w:t>Clé RIB</w:t>
            </w:r>
          </w:p>
        </w:tc>
      </w:tr>
      <w:tr w:rsidR="008A104C" w:rsidRPr="00617C4A" w:rsidTr="003244D4">
        <w:trPr>
          <w:trHeight w:val="40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04C" w:rsidRPr="00617C4A" w:rsidRDefault="008A104C" w:rsidP="003244D4">
            <w:pPr>
              <w:jc w:val="center"/>
              <w:rPr>
                <w:color w:val="000000"/>
              </w:rPr>
            </w:pPr>
            <w:r w:rsidRPr="00617C4A">
              <w:rPr>
                <w:color w:val="000000"/>
              </w:rPr>
              <w:t>00010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04C" w:rsidRPr="00617C4A" w:rsidRDefault="008A104C" w:rsidP="003244D4">
            <w:pPr>
              <w:jc w:val="center"/>
              <w:rPr>
                <w:color w:val="000000"/>
              </w:rPr>
            </w:pPr>
            <w:r w:rsidRPr="00617C4A">
              <w:rPr>
                <w:color w:val="000000"/>
              </w:rPr>
              <w:t>00001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04C" w:rsidRPr="00617C4A" w:rsidRDefault="008A104C" w:rsidP="003244D4">
            <w:pPr>
              <w:jc w:val="center"/>
              <w:rPr>
                <w:color w:val="000000"/>
              </w:rPr>
            </w:pPr>
            <w:r w:rsidRPr="00617C4A">
              <w:rPr>
                <w:color w:val="000000"/>
              </w:rPr>
              <w:t>01289070181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04C" w:rsidRPr="00617C4A" w:rsidRDefault="008A104C" w:rsidP="003244D4">
            <w:pPr>
              <w:jc w:val="center"/>
              <w:rPr>
                <w:color w:val="000000"/>
              </w:rPr>
            </w:pPr>
            <w:r w:rsidRPr="00617C4A">
              <w:rPr>
                <w:color w:val="000000"/>
              </w:rPr>
              <w:t>79</w:t>
            </w:r>
          </w:p>
        </w:tc>
      </w:tr>
      <w:tr w:rsidR="008A104C" w:rsidRPr="00617C4A" w:rsidTr="003244D4">
        <w:trPr>
          <w:trHeight w:val="40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04C" w:rsidRPr="00617C4A" w:rsidRDefault="008A104C" w:rsidP="003244D4">
            <w:pPr>
              <w:rPr>
                <w:b/>
                <w:bCs/>
                <w:color w:val="000000"/>
              </w:rPr>
            </w:pPr>
            <w:r w:rsidRPr="00617C4A">
              <w:rPr>
                <w:b/>
                <w:bCs/>
                <w:color w:val="000000"/>
              </w:rPr>
              <w:t>Adresse SWIFT</w:t>
            </w:r>
          </w:p>
        </w:tc>
        <w:tc>
          <w:tcPr>
            <w:tcW w:w="5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4C" w:rsidRPr="00617C4A" w:rsidRDefault="008A104C" w:rsidP="003244D4">
            <w:pPr>
              <w:jc w:val="center"/>
              <w:rPr>
                <w:b/>
                <w:bCs/>
                <w:color w:val="000000"/>
              </w:rPr>
            </w:pPr>
            <w:r w:rsidRPr="00617C4A">
              <w:rPr>
                <w:b/>
                <w:bCs/>
                <w:color w:val="000000"/>
              </w:rPr>
              <w:t>MBICMRMRXXX</w:t>
            </w:r>
          </w:p>
        </w:tc>
      </w:tr>
      <w:tr w:rsidR="008A104C" w:rsidRPr="00617C4A" w:rsidTr="003244D4">
        <w:trPr>
          <w:trHeight w:val="405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4C" w:rsidRPr="00617C4A" w:rsidRDefault="008A104C" w:rsidP="003244D4">
            <w:pPr>
              <w:jc w:val="center"/>
              <w:rPr>
                <w:color w:val="000000"/>
                <w:sz w:val="28"/>
                <w:szCs w:val="28"/>
              </w:rPr>
            </w:pPr>
            <w:r w:rsidRPr="00617C4A">
              <w:rPr>
                <w:color w:val="000000"/>
                <w:sz w:val="28"/>
                <w:szCs w:val="28"/>
              </w:rPr>
              <w:t>IBAN: MR 1300010000010128907018179</w:t>
            </w:r>
          </w:p>
        </w:tc>
      </w:tr>
    </w:tbl>
    <w:p w:rsidR="008A104C" w:rsidRDefault="008A104C" w:rsidP="008A104C">
      <w:pPr>
        <w:autoSpaceDN w:val="0"/>
        <w:spacing w:line="240" w:lineRule="auto"/>
        <w:jc w:val="both"/>
      </w:pPr>
    </w:p>
    <w:p w:rsidR="008A104C" w:rsidRPr="009020A8" w:rsidRDefault="008A104C" w:rsidP="008A104C">
      <w:pPr>
        <w:numPr>
          <w:ilvl w:val="0"/>
          <w:numId w:val="1"/>
        </w:numPr>
        <w:autoSpaceDN w:val="0"/>
        <w:spacing w:line="240" w:lineRule="auto"/>
        <w:ind w:left="0" w:firstLine="0"/>
        <w:jc w:val="both"/>
      </w:pPr>
      <w:r w:rsidRPr="009020A8">
        <w:t>Les offres devront être soumises à l’adresse (ii) ci-dess</w:t>
      </w:r>
      <w:r>
        <w:t>ous au plus tard</w:t>
      </w:r>
      <w:r w:rsidRPr="009020A8">
        <w:t xml:space="preserve"> </w:t>
      </w:r>
      <w:r>
        <w:t xml:space="preserve">le </w:t>
      </w:r>
      <w:r>
        <w:rPr>
          <w:b/>
          <w:bCs/>
        </w:rPr>
        <w:t>mercredi</w:t>
      </w:r>
      <w:r w:rsidRPr="00712C2D">
        <w:rPr>
          <w:b/>
          <w:bCs/>
        </w:rPr>
        <w:t>,</w:t>
      </w:r>
      <w:r>
        <w:t xml:space="preserve"> </w:t>
      </w:r>
      <w:r>
        <w:rPr>
          <w:b/>
          <w:bCs/>
        </w:rPr>
        <w:t>31 juillet</w:t>
      </w:r>
      <w:r w:rsidRPr="00712C2D">
        <w:rPr>
          <w:b/>
          <w:bCs/>
        </w:rPr>
        <w:t xml:space="preserve"> 2013 à 10 heures TU</w:t>
      </w:r>
      <w:r>
        <w:t>.</w:t>
      </w:r>
      <w:r w:rsidRPr="009020A8">
        <w:rPr>
          <w:color w:val="FF0000"/>
        </w:rPr>
        <w:t xml:space="preserve"> </w:t>
      </w:r>
      <w:r w:rsidRPr="009020A8">
        <w:t>La soumission des offres par voie électronique  ne sera pas</w:t>
      </w:r>
      <w:r w:rsidRPr="009020A8">
        <w:rPr>
          <w:i/>
          <w:iCs/>
        </w:rPr>
        <w:t> </w:t>
      </w:r>
      <w:r w:rsidRPr="009020A8">
        <w:t xml:space="preserve"> autorisée. Les offres remises en retard ne seront pas acceptées. Les offres seront ouvertes en présence des représentants des soumissionnaires qui le souhaitent à l’adresse (</w:t>
      </w:r>
      <w:r>
        <w:t>ii</w:t>
      </w:r>
      <w:r w:rsidRPr="009020A8">
        <w:t xml:space="preserve">) ci-dessous mentionnée le </w:t>
      </w:r>
      <w:r>
        <w:rPr>
          <w:b/>
          <w:bCs/>
        </w:rPr>
        <w:t>mercredi</w:t>
      </w:r>
      <w:r w:rsidRPr="00712C2D">
        <w:rPr>
          <w:b/>
          <w:bCs/>
        </w:rPr>
        <w:t>,</w:t>
      </w:r>
      <w:r>
        <w:t xml:space="preserve"> </w:t>
      </w:r>
      <w:r>
        <w:rPr>
          <w:b/>
          <w:bCs/>
        </w:rPr>
        <w:t>31 juillet</w:t>
      </w:r>
      <w:r w:rsidRPr="00712C2D">
        <w:rPr>
          <w:b/>
          <w:bCs/>
        </w:rPr>
        <w:t xml:space="preserve"> 2013 à 10 heures TU</w:t>
      </w:r>
      <w:r>
        <w:rPr>
          <w:b/>
          <w:bCs/>
        </w:rPr>
        <w:t>.</w:t>
      </w:r>
      <w:r w:rsidRPr="009020A8">
        <w:t xml:space="preserve"> Les offres doivent comprendre une garantie de soumission d’un montant de :</w:t>
      </w:r>
    </w:p>
    <w:p w:rsidR="008A104C" w:rsidRPr="00EC1D05" w:rsidRDefault="008A104C" w:rsidP="008A104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4113"/>
        <w:gridCol w:w="4960"/>
      </w:tblGrid>
      <w:tr w:rsidR="008A104C" w:rsidRPr="0018598A" w:rsidTr="003244D4">
        <w:tc>
          <w:tcPr>
            <w:tcW w:w="1087" w:type="dxa"/>
            <w:shd w:val="clear" w:color="auto" w:fill="auto"/>
            <w:vAlign w:val="center"/>
          </w:tcPr>
          <w:p w:rsidR="008A104C" w:rsidRPr="0018598A" w:rsidRDefault="008A104C" w:rsidP="003244D4">
            <w:pPr>
              <w:tabs>
                <w:tab w:val="right" w:pos="7254"/>
              </w:tabs>
              <w:spacing w:before="120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18598A">
              <w:rPr>
                <w:rFonts w:ascii="Times New Roman" w:hAnsi="Times New Roman"/>
                <w:b/>
                <w:bCs/>
                <w:iCs/>
                <w:u w:val="single"/>
              </w:rPr>
              <w:t>N° lot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8A104C" w:rsidRPr="0018598A" w:rsidRDefault="008A104C" w:rsidP="003244D4">
            <w:pPr>
              <w:tabs>
                <w:tab w:val="right" w:pos="7254"/>
              </w:tabs>
              <w:spacing w:before="120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18598A">
              <w:rPr>
                <w:rFonts w:ascii="Times New Roman" w:hAnsi="Times New Roman"/>
                <w:b/>
                <w:bCs/>
                <w:iCs/>
                <w:u w:val="single"/>
              </w:rPr>
              <w:t>Identification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8A104C" w:rsidRPr="0018598A" w:rsidRDefault="008A104C" w:rsidP="003244D4">
            <w:pPr>
              <w:tabs>
                <w:tab w:val="right" w:pos="7254"/>
              </w:tabs>
              <w:spacing w:before="120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18598A">
              <w:rPr>
                <w:rFonts w:ascii="Times New Roman" w:hAnsi="Times New Roman"/>
                <w:b/>
                <w:bCs/>
                <w:iCs/>
                <w:u w:val="single"/>
              </w:rPr>
              <w:t>Montant caution</w:t>
            </w:r>
          </w:p>
        </w:tc>
      </w:tr>
      <w:tr w:rsidR="008A104C" w:rsidRPr="0018598A" w:rsidTr="003244D4">
        <w:tc>
          <w:tcPr>
            <w:tcW w:w="1087" w:type="dxa"/>
            <w:shd w:val="clear" w:color="auto" w:fill="auto"/>
            <w:vAlign w:val="center"/>
          </w:tcPr>
          <w:p w:rsidR="008A104C" w:rsidRPr="0018598A" w:rsidRDefault="008A104C" w:rsidP="003244D4">
            <w:pPr>
              <w:tabs>
                <w:tab w:val="right" w:pos="7254"/>
              </w:tabs>
              <w:spacing w:before="120"/>
              <w:rPr>
                <w:rFonts w:ascii="Times New Roman" w:hAnsi="Times New Roman"/>
                <w:iCs/>
              </w:rPr>
            </w:pPr>
            <w:r w:rsidRPr="0018598A">
              <w:rPr>
                <w:rFonts w:ascii="Times New Roman" w:hAnsi="Times New Roman"/>
                <w:b/>
                <w:bCs/>
              </w:rPr>
              <w:t>Lot n°1 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8A104C" w:rsidRPr="0018598A" w:rsidRDefault="008A104C" w:rsidP="003244D4">
            <w:pPr>
              <w:tabs>
                <w:tab w:val="right" w:pos="7254"/>
              </w:tabs>
              <w:spacing w:before="120"/>
              <w:rPr>
                <w:rFonts w:ascii="Times New Roman" w:hAnsi="Times New Roman"/>
                <w:iCs/>
              </w:rPr>
            </w:pPr>
            <w:r w:rsidRPr="0018598A">
              <w:rPr>
                <w:rFonts w:ascii="Times New Roman" w:hAnsi="Times New Roman"/>
                <w:b/>
                <w:bCs/>
              </w:rPr>
              <w:t>Matériels informatiques et de reprographie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8A104C" w:rsidRPr="0018598A" w:rsidRDefault="008A104C" w:rsidP="003244D4">
            <w:pPr>
              <w:tabs>
                <w:tab w:val="right" w:pos="7254"/>
              </w:tabs>
              <w:spacing w:before="120"/>
              <w:rPr>
                <w:rFonts w:ascii="Times New Roman" w:hAnsi="Times New Roman"/>
                <w:iCs/>
              </w:rPr>
            </w:pPr>
            <w:r w:rsidRPr="0018598A">
              <w:rPr>
                <w:rFonts w:ascii="Times New Roman" w:hAnsi="Times New Roman"/>
                <w:b/>
                <w:bCs/>
              </w:rPr>
              <w:t>Un million huit cent milles (1 800 000) Ouguiyas</w:t>
            </w:r>
          </w:p>
        </w:tc>
      </w:tr>
      <w:tr w:rsidR="008A104C" w:rsidRPr="0018598A" w:rsidTr="003244D4">
        <w:tc>
          <w:tcPr>
            <w:tcW w:w="1087" w:type="dxa"/>
            <w:shd w:val="clear" w:color="auto" w:fill="auto"/>
            <w:vAlign w:val="center"/>
          </w:tcPr>
          <w:p w:rsidR="008A104C" w:rsidRPr="0018598A" w:rsidRDefault="008A104C" w:rsidP="003244D4">
            <w:pPr>
              <w:tabs>
                <w:tab w:val="right" w:pos="7254"/>
              </w:tabs>
              <w:spacing w:before="120"/>
              <w:rPr>
                <w:rFonts w:ascii="Times New Roman" w:hAnsi="Times New Roman"/>
                <w:iCs/>
              </w:rPr>
            </w:pPr>
            <w:r w:rsidRPr="0018598A">
              <w:rPr>
                <w:rFonts w:ascii="Times New Roman" w:hAnsi="Times New Roman"/>
                <w:b/>
                <w:bCs/>
              </w:rPr>
              <w:t>Lot n°2 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8A104C" w:rsidRPr="0018598A" w:rsidRDefault="008A104C" w:rsidP="003244D4">
            <w:pPr>
              <w:tabs>
                <w:tab w:val="right" w:pos="7254"/>
              </w:tabs>
              <w:spacing w:before="120"/>
              <w:rPr>
                <w:rFonts w:ascii="Times New Roman" w:hAnsi="Times New Roman"/>
                <w:iCs/>
              </w:rPr>
            </w:pPr>
            <w:r w:rsidRPr="0018598A">
              <w:rPr>
                <w:rFonts w:ascii="Times New Roman" w:hAnsi="Times New Roman"/>
                <w:b/>
                <w:bCs/>
              </w:rPr>
              <w:t>Matériels de bureaux  et équipements des classes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8A104C" w:rsidRPr="0018598A" w:rsidRDefault="008A104C" w:rsidP="003244D4">
            <w:pPr>
              <w:tabs>
                <w:tab w:val="right" w:pos="7254"/>
              </w:tabs>
              <w:spacing w:before="120"/>
              <w:rPr>
                <w:rFonts w:ascii="Times New Roman" w:hAnsi="Times New Roman"/>
                <w:iCs/>
              </w:rPr>
            </w:pPr>
            <w:r w:rsidRPr="0018598A">
              <w:rPr>
                <w:rFonts w:ascii="Times New Roman" w:hAnsi="Times New Roman"/>
                <w:b/>
                <w:bCs/>
              </w:rPr>
              <w:t>Un million cinq cent milles (1 500 000) Ouguiyas</w:t>
            </w:r>
          </w:p>
        </w:tc>
      </w:tr>
      <w:tr w:rsidR="008A104C" w:rsidRPr="0018598A" w:rsidTr="003244D4">
        <w:tc>
          <w:tcPr>
            <w:tcW w:w="1087" w:type="dxa"/>
            <w:shd w:val="clear" w:color="auto" w:fill="auto"/>
            <w:vAlign w:val="center"/>
          </w:tcPr>
          <w:p w:rsidR="008A104C" w:rsidRPr="0018598A" w:rsidRDefault="008A104C" w:rsidP="003244D4">
            <w:pPr>
              <w:tabs>
                <w:tab w:val="right" w:pos="7254"/>
              </w:tabs>
              <w:spacing w:before="120"/>
              <w:rPr>
                <w:rFonts w:ascii="Times New Roman" w:hAnsi="Times New Roman"/>
                <w:iCs/>
              </w:rPr>
            </w:pPr>
            <w:r w:rsidRPr="0018598A">
              <w:rPr>
                <w:rFonts w:ascii="Times New Roman" w:hAnsi="Times New Roman"/>
                <w:b/>
                <w:bCs/>
              </w:rPr>
              <w:t>Lot n°3 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8A104C" w:rsidRPr="0018598A" w:rsidRDefault="008A104C" w:rsidP="003244D4">
            <w:pPr>
              <w:tabs>
                <w:tab w:val="right" w:pos="7254"/>
              </w:tabs>
              <w:spacing w:before="120"/>
              <w:rPr>
                <w:rFonts w:ascii="Times New Roman" w:hAnsi="Times New Roman"/>
                <w:iCs/>
              </w:rPr>
            </w:pPr>
            <w:r w:rsidRPr="0018598A">
              <w:rPr>
                <w:rFonts w:ascii="Times New Roman" w:hAnsi="Times New Roman"/>
                <w:b/>
                <w:bCs/>
              </w:rPr>
              <w:t>Equipements amphithéâtres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8A104C" w:rsidRPr="0018598A" w:rsidRDefault="008A104C" w:rsidP="003244D4">
            <w:pPr>
              <w:tabs>
                <w:tab w:val="right" w:pos="7254"/>
              </w:tabs>
              <w:spacing w:before="120"/>
              <w:rPr>
                <w:rFonts w:ascii="Times New Roman" w:hAnsi="Times New Roman"/>
                <w:iCs/>
              </w:rPr>
            </w:pPr>
            <w:r w:rsidRPr="0018598A">
              <w:rPr>
                <w:rFonts w:ascii="Times New Roman" w:hAnsi="Times New Roman"/>
                <w:b/>
                <w:bCs/>
              </w:rPr>
              <w:t>Trois millions (3 000 000) Ouguiyas</w:t>
            </w:r>
          </w:p>
        </w:tc>
      </w:tr>
    </w:tbl>
    <w:p w:rsidR="008A104C" w:rsidRDefault="008A104C" w:rsidP="008A104C">
      <w:pPr>
        <w:tabs>
          <w:tab w:val="right" w:pos="7254"/>
        </w:tabs>
        <w:spacing w:before="120"/>
        <w:rPr>
          <w:rFonts w:ascii="Times New Roman" w:hAnsi="Times New Roman"/>
          <w:iCs/>
          <w:sz w:val="24"/>
          <w:szCs w:val="24"/>
        </w:rPr>
      </w:pPr>
    </w:p>
    <w:p w:rsidR="008A104C" w:rsidRDefault="008A104C" w:rsidP="008A104C">
      <w:pPr>
        <w:tabs>
          <w:tab w:val="right" w:pos="7254"/>
        </w:tabs>
        <w:spacing w:before="120"/>
        <w:rPr>
          <w:rFonts w:ascii="Times New Roman" w:hAnsi="Times New Roman"/>
          <w:iCs/>
          <w:sz w:val="24"/>
          <w:szCs w:val="24"/>
        </w:rPr>
      </w:pPr>
    </w:p>
    <w:p w:rsidR="008A104C" w:rsidRDefault="008A104C" w:rsidP="008A104C">
      <w:pPr>
        <w:tabs>
          <w:tab w:val="right" w:pos="7254"/>
        </w:tabs>
        <w:spacing w:before="1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</w:t>
      </w:r>
    </w:p>
    <w:p w:rsidR="008A104C" w:rsidRDefault="008A104C" w:rsidP="008A104C">
      <w:pPr>
        <w:tabs>
          <w:tab w:val="right" w:pos="7254"/>
        </w:tabs>
        <w:spacing w:before="120"/>
        <w:rPr>
          <w:rFonts w:ascii="Times New Roman" w:hAnsi="Times New Roman"/>
          <w:iCs/>
          <w:sz w:val="24"/>
          <w:szCs w:val="24"/>
        </w:rPr>
      </w:pPr>
      <w:r w:rsidRPr="003138AB">
        <w:rPr>
          <w:rFonts w:ascii="Times New Roman" w:hAnsi="Times New Roman"/>
          <w:iCs/>
          <w:sz w:val="24"/>
          <w:szCs w:val="24"/>
        </w:rPr>
        <w:t xml:space="preserve">Les montants des offres doivent être calculés en </w:t>
      </w:r>
      <w:r>
        <w:rPr>
          <w:rFonts w:ascii="Times New Roman" w:hAnsi="Times New Roman"/>
          <w:iCs/>
          <w:sz w:val="24"/>
          <w:szCs w:val="24"/>
        </w:rPr>
        <w:t>hors</w:t>
      </w:r>
      <w:r w:rsidRPr="003138AB">
        <w:rPr>
          <w:rFonts w:ascii="Times New Roman" w:hAnsi="Times New Roman"/>
          <w:iCs/>
          <w:sz w:val="24"/>
          <w:szCs w:val="24"/>
        </w:rPr>
        <w:t xml:space="preserve"> impôts, droits et taxes  </w:t>
      </w:r>
      <w:r>
        <w:rPr>
          <w:rFonts w:ascii="Times New Roman" w:hAnsi="Times New Roman"/>
          <w:iCs/>
          <w:sz w:val="24"/>
          <w:szCs w:val="24"/>
        </w:rPr>
        <w:t>avec une offre fiscale prise en charge par l’Etat sous forme de Crédit d’Impôt calculée séparément.</w:t>
      </w:r>
      <w:r w:rsidRPr="003138AB">
        <w:rPr>
          <w:rFonts w:ascii="Times New Roman" w:hAnsi="Times New Roman"/>
          <w:iCs/>
          <w:sz w:val="24"/>
          <w:szCs w:val="24"/>
        </w:rPr>
        <w:t xml:space="preserve"> </w:t>
      </w:r>
      <w:r w:rsidRPr="00EC1D05">
        <w:rPr>
          <w:rFonts w:ascii="Times New Roman" w:hAnsi="Times New Roman"/>
          <w:iCs/>
          <w:sz w:val="24"/>
          <w:szCs w:val="24"/>
        </w:rPr>
        <w:t>Les offres devront demeurer valides pendant une durée de 90 jours à compter de la date limite de dépôt.</w:t>
      </w:r>
    </w:p>
    <w:p w:rsidR="008A104C" w:rsidRDefault="008A104C" w:rsidP="008A104C">
      <w:pPr>
        <w:tabs>
          <w:tab w:val="right" w:pos="7254"/>
        </w:tabs>
        <w:spacing w:before="120"/>
        <w:rPr>
          <w:rFonts w:ascii="Times New Roman" w:hAnsi="Times New Roman"/>
          <w:iCs/>
          <w:sz w:val="24"/>
          <w:szCs w:val="24"/>
        </w:rPr>
      </w:pPr>
    </w:p>
    <w:p w:rsidR="008A104C" w:rsidRDefault="008A104C" w:rsidP="008A104C">
      <w:pPr>
        <w:tabs>
          <w:tab w:val="right" w:pos="7254"/>
        </w:tabs>
        <w:spacing w:before="120"/>
        <w:rPr>
          <w:rFonts w:ascii="Times New Roman" w:hAnsi="Times New Roman"/>
          <w:iCs/>
          <w:sz w:val="24"/>
          <w:szCs w:val="24"/>
        </w:rPr>
      </w:pPr>
    </w:p>
    <w:p w:rsidR="008A104C" w:rsidRDefault="008A104C" w:rsidP="008A104C">
      <w:pPr>
        <w:tabs>
          <w:tab w:val="right" w:pos="7254"/>
        </w:tabs>
        <w:spacing w:before="120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p w:rsidR="008A104C" w:rsidRPr="009020A8" w:rsidRDefault="008A104C" w:rsidP="008A104C">
      <w:pPr>
        <w:numPr>
          <w:ilvl w:val="0"/>
          <w:numId w:val="1"/>
        </w:numPr>
        <w:autoSpaceDN w:val="0"/>
        <w:spacing w:line="240" w:lineRule="auto"/>
        <w:ind w:left="0" w:firstLine="0"/>
        <w:jc w:val="both"/>
      </w:pPr>
      <w:r w:rsidRPr="009020A8">
        <w:t xml:space="preserve">Les adresses auxquelles il est fait référence ci-dessus sont : </w:t>
      </w:r>
    </w:p>
    <w:p w:rsidR="008A104C" w:rsidRDefault="008A104C" w:rsidP="008A104C">
      <w:pPr>
        <w:numPr>
          <w:ilvl w:val="0"/>
          <w:numId w:val="2"/>
        </w:numPr>
        <w:rPr>
          <w:b/>
          <w:bCs/>
        </w:rPr>
      </w:pPr>
      <w:r w:rsidRPr="009020A8">
        <w:rPr>
          <w:b/>
          <w:bCs/>
        </w:rPr>
        <w:t>Direction des Projet Education – Formation,</w:t>
      </w:r>
    </w:p>
    <w:p w:rsidR="008A104C" w:rsidRPr="009020A8" w:rsidRDefault="008A104C" w:rsidP="008A104C">
      <w:pPr>
        <w:ind w:left="1428"/>
      </w:pPr>
      <w:r w:rsidRPr="009020A8">
        <w:rPr>
          <w:b/>
          <w:bCs/>
        </w:rPr>
        <w:t xml:space="preserve"> à l’attention de </w:t>
      </w:r>
      <w:proofErr w:type="spellStart"/>
      <w:r w:rsidRPr="009020A8">
        <w:rPr>
          <w:b/>
          <w:bCs/>
        </w:rPr>
        <w:t>Toinsi</w:t>
      </w:r>
      <w:proofErr w:type="spellEnd"/>
      <w:r w:rsidRPr="009020A8">
        <w:rPr>
          <w:b/>
          <w:bCs/>
        </w:rPr>
        <w:t xml:space="preserve"> </w:t>
      </w:r>
      <w:proofErr w:type="spellStart"/>
      <w:r w:rsidRPr="009020A8">
        <w:rPr>
          <w:b/>
          <w:bCs/>
        </w:rPr>
        <w:t>Ould</w:t>
      </w:r>
      <w:proofErr w:type="spellEnd"/>
      <w:r w:rsidRPr="009020A8">
        <w:rPr>
          <w:b/>
          <w:bCs/>
        </w:rPr>
        <w:t xml:space="preserve"> Mokhtar, E-mail : </w:t>
      </w:r>
      <w:hyperlink r:id="rId6" w:history="1">
        <w:r w:rsidRPr="009020A8">
          <w:rPr>
            <w:rStyle w:val="Lienhypertexte"/>
          </w:rPr>
          <w:t>d.dpef@dpef.mr</w:t>
        </w:r>
      </w:hyperlink>
      <w:r w:rsidRPr="009020A8">
        <w:t> </w:t>
      </w:r>
      <w:proofErr w:type="gramStart"/>
      <w:r w:rsidRPr="009020A8">
        <w:t>;</w:t>
      </w:r>
      <w:r w:rsidRPr="009020A8">
        <w:rPr>
          <w:b/>
          <w:bCs/>
        </w:rPr>
        <w:t>République</w:t>
      </w:r>
      <w:proofErr w:type="gramEnd"/>
      <w:r w:rsidRPr="009020A8">
        <w:rPr>
          <w:b/>
          <w:bCs/>
        </w:rPr>
        <w:t xml:space="preserve"> Islamique de Mauritanie ; Téléphone ; +(222) 4525 20 63 ; +(222) 4529 12 03 &amp;4529 12 04, Fax : +(222) 45 25 15 13 </w:t>
      </w:r>
      <w:r w:rsidRPr="009020A8">
        <w:t>;</w:t>
      </w:r>
    </w:p>
    <w:p w:rsidR="008A104C" w:rsidRPr="009020A8" w:rsidRDefault="008A104C" w:rsidP="008A104C">
      <w:pPr>
        <w:tabs>
          <w:tab w:val="left" w:pos="709"/>
        </w:tabs>
        <w:suppressAutoHyphens/>
        <w:ind w:left="708"/>
        <w:rPr>
          <w:b/>
        </w:rPr>
      </w:pPr>
      <w:r w:rsidRPr="009020A8">
        <w:rPr>
          <w:b/>
          <w:bCs/>
        </w:rPr>
        <w:t xml:space="preserve">ii)  A Monsieur le Président de la </w:t>
      </w:r>
      <w:r w:rsidRPr="009020A8">
        <w:rPr>
          <w:b/>
        </w:rPr>
        <w:t>Commission de Passation des Marchés Publics de la Direction des Projets Education – Formation.</w:t>
      </w:r>
    </w:p>
    <w:p w:rsidR="008A104C" w:rsidRPr="009020A8" w:rsidRDefault="008A104C" w:rsidP="008A104C">
      <w:pPr>
        <w:tabs>
          <w:tab w:val="left" w:pos="709"/>
        </w:tabs>
        <w:suppressAutoHyphens/>
        <w:jc w:val="center"/>
        <w:rPr>
          <w:b/>
          <w:bCs/>
        </w:rPr>
      </w:pPr>
      <w:r w:rsidRPr="009020A8">
        <w:rPr>
          <w:b/>
          <w:bCs/>
        </w:rPr>
        <w:t>Rue 42-037 T.Z</w:t>
      </w:r>
    </w:p>
    <w:p w:rsidR="008A104C" w:rsidRPr="009020A8" w:rsidRDefault="008A104C" w:rsidP="008A104C">
      <w:pPr>
        <w:numPr>
          <w:ilvl w:val="12"/>
          <w:numId w:val="0"/>
        </w:numPr>
        <w:suppressAutoHyphens/>
        <w:jc w:val="center"/>
        <w:rPr>
          <w:b/>
          <w:bCs/>
        </w:rPr>
      </w:pPr>
      <w:r w:rsidRPr="009020A8">
        <w:rPr>
          <w:b/>
          <w:bCs/>
        </w:rPr>
        <w:t>Téléphone ; (+222) 45 25 20 63, Fax : (+222) 45 25 15 13</w:t>
      </w:r>
    </w:p>
    <w:p w:rsidR="008A104C" w:rsidRPr="009020A8" w:rsidRDefault="008A104C" w:rsidP="008A104C">
      <w:pPr>
        <w:tabs>
          <w:tab w:val="left" w:pos="709"/>
        </w:tabs>
        <w:suppressAutoHyphens/>
        <w:jc w:val="center"/>
        <w:rPr>
          <w:b/>
        </w:rPr>
      </w:pPr>
      <w:r w:rsidRPr="009020A8">
        <w:rPr>
          <w:b/>
        </w:rPr>
        <w:t>Nouakchott   -   Mauritanie</w:t>
      </w:r>
    </w:p>
    <w:p w:rsidR="008A104C" w:rsidRPr="009020A8" w:rsidRDefault="008A104C" w:rsidP="008A104C">
      <w:pPr>
        <w:tabs>
          <w:tab w:val="left" w:pos="709"/>
        </w:tabs>
        <w:suppressAutoHyphens/>
        <w:rPr>
          <w:b/>
          <w:bCs/>
        </w:rPr>
      </w:pPr>
    </w:p>
    <w:p w:rsidR="008A104C" w:rsidRPr="009020A8" w:rsidRDefault="008A104C" w:rsidP="008A10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</w:pPr>
      <w:r w:rsidRPr="009020A8">
        <w:t>La Direction des Projets Education Formation se réserve le droit de ne pas donner une suite, ou de ne donner qu’une suite partielle au présent Avis d’Appel d’Offres.</w:t>
      </w:r>
    </w:p>
    <w:p w:rsidR="008A104C" w:rsidRPr="009020A8" w:rsidRDefault="008A104C" w:rsidP="008A104C">
      <w:pPr>
        <w:ind w:left="720"/>
      </w:pPr>
    </w:p>
    <w:p w:rsidR="008A104C" w:rsidRPr="009020A8" w:rsidRDefault="008A104C" w:rsidP="008A104C">
      <w:pPr>
        <w:ind w:left="720"/>
        <w:jc w:val="right"/>
        <w:rPr>
          <w:b/>
          <w:bCs/>
        </w:rPr>
      </w:pPr>
      <w:r w:rsidRPr="009020A8">
        <w:rPr>
          <w:b/>
          <w:bCs/>
        </w:rPr>
        <w:t>Le Directeur des Projets Education Formation</w:t>
      </w:r>
    </w:p>
    <w:p w:rsidR="008A104C" w:rsidRPr="00CC288B" w:rsidRDefault="008A104C" w:rsidP="008A104C">
      <w:pPr>
        <w:ind w:left="720"/>
        <w:jc w:val="right"/>
        <w:rPr>
          <w:i/>
          <w:iCs/>
        </w:rPr>
      </w:pPr>
      <w:proofErr w:type="spellStart"/>
      <w:r w:rsidRPr="009020A8">
        <w:rPr>
          <w:b/>
          <w:bCs/>
        </w:rPr>
        <w:t>Toinsi</w:t>
      </w:r>
      <w:proofErr w:type="spellEnd"/>
      <w:r w:rsidRPr="009020A8">
        <w:rPr>
          <w:b/>
          <w:bCs/>
        </w:rPr>
        <w:t xml:space="preserve"> </w:t>
      </w:r>
      <w:proofErr w:type="spellStart"/>
      <w:r w:rsidRPr="009020A8">
        <w:rPr>
          <w:b/>
          <w:bCs/>
        </w:rPr>
        <w:t>Ould</w:t>
      </w:r>
      <w:proofErr w:type="spellEnd"/>
      <w:r w:rsidRPr="009020A8">
        <w:rPr>
          <w:b/>
          <w:bCs/>
        </w:rPr>
        <w:t xml:space="preserve"> Mokhtar</w:t>
      </w:r>
    </w:p>
    <w:p w:rsidR="00321258" w:rsidRDefault="00321258"/>
    <w:sectPr w:rsidR="00321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LuzSans-Book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56CD"/>
    <w:multiLevelType w:val="hybridMultilevel"/>
    <w:tmpl w:val="E09EC0EE"/>
    <w:lvl w:ilvl="0" w:tplc="A51A6AF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ED1FA5"/>
    <w:multiLevelType w:val="hybridMultilevel"/>
    <w:tmpl w:val="7F369C6C"/>
    <w:lvl w:ilvl="0" w:tplc="AB569D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B5FC1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61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ECE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03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07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521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C61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107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F5"/>
    <w:rsid w:val="00321258"/>
    <w:rsid w:val="006372F5"/>
    <w:rsid w:val="008A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73903-C2E6-4FAC-8D72-DFA37632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04C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paragraph" w:styleId="Titre1">
    <w:name w:val="heading 1"/>
    <w:aliases w:val="Document Header1"/>
    <w:basedOn w:val="Normal"/>
    <w:next w:val="Normal"/>
    <w:link w:val="Titre1Car"/>
    <w:qFormat/>
    <w:rsid w:val="008A10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Document Header1 Car"/>
    <w:basedOn w:val="Policepardfaut"/>
    <w:link w:val="Titre1"/>
    <w:rsid w:val="008A104C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styleId="Lienhypertexte">
    <w:name w:val="Hyperlink"/>
    <w:uiPriority w:val="99"/>
    <w:unhideWhenUsed/>
    <w:rsid w:val="008A1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dpef@dpef.mr" TargetMode="External"/><Relationship Id="rId5" Type="http://schemas.openxmlformats.org/officeDocument/2006/relationships/hyperlink" Target="mailto:mosm@dpef.m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709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 mt 3330</dc:creator>
  <cp:keywords/>
  <dc:description/>
  <cp:lastModifiedBy>hp pro mt 3330</cp:lastModifiedBy>
  <cp:revision>2</cp:revision>
  <dcterms:created xsi:type="dcterms:W3CDTF">2013-06-16T10:03:00Z</dcterms:created>
  <dcterms:modified xsi:type="dcterms:W3CDTF">2013-06-16T10:08:00Z</dcterms:modified>
</cp:coreProperties>
</file>