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B2" w:rsidRPr="0096630B" w:rsidRDefault="007B7DB2" w:rsidP="007B7DB2">
      <w:pPr>
        <w:pStyle w:val="Sections"/>
        <w:spacing w:line="600" w:lineRule="auto"/>
        <w:jc w:val="center"/>
        <w:rPr>
          <w:rFonts w:ascii="Times New Roman" w:hAnsi="Times New Roman"/>
          <w:b/>
          <w:color w:val="auto"/>
          <w:spacing w:val="0"/>
          <w:sz w:val="32"/>
          <w:szCs w:val="32"/>
        </w:rPr>
      </w:pPr>
      <w:r w:rsidRPr="0096630B">
        <w:rPr>
          <w:b/>
          <w:color w:val="auto"/>
          <w:sz w:val="32"/>
          <w:szCs w:val="32"/>
        </w:rPr>
        <w:t>Avis d’Appel d’Offres International (AAOI)</w:t>
      </w:r>
    </w:p>
    <w:p w:rsidR="007B7DB2" w:rsidRPr="00F6635F" w:rsidRDefault="007B7DB2" w:rsidP="007B7DB2">
      <w:pPr>
        <w:jc w:val="right"/>
        <w:rPr>
          <w:b/>
          <w:bCs/>
          <w:i/>
          <w:iCs/>
          <w:color w:val="FF0000"/>
          <w:lang w:val="en-US"/>
        </w:rPr>
      </w:pPr>
      <w:r w:rsidRPr="0096630B">
        <w:rPr>
          <w:b/>
          <w:bCs/>
          <w:i/>
          <w:iCs/>
          <w:lang w:val="en-US"/>
        </w:rPr>
        <w:t>Date: 18</w:t>
      </w:r>
      <w:r w:rsidRPr="00CC2602">
        <w:rPr>
          <w:b/>
          <w:bCs/>
          <w:i/>
          <w:iCs/>
          <w:lang w:val="en-US"/>
        </w:rPr>
        <w:t>/03</w:t>
      </w:r>
      <w:r>
        <w:rPr>
          <w:b/>
          <w:bCs/>
          <w:i/>
          <w:iCs/>
          <w:lang w:val="en-US"/>
        </w:rPr>
        <w:t>/2015</w:t>
      </w:r>
    </w:p>
    <w:p w:rsidR="007B7DB2" w:rsidRPr="00F6635F" w:rsidRDefault="007B7DB2" w:rsidP="007B7DB2">
      <w:pPr>
        <w:jc w:val="center"/>
        <w:rPr>
          <w:i/>
          <w:iCs/>
          <w:color w:val="FF0000"/>
          <w:lang w:val="en-US"/>
        </w:rPr>
      </w:pPr>
      <w:bookmarkStart w:id="0" w:name="_GoBack"/>
      <w:bookmarkEnd w:id="0"/>
    </w:p>
    <w:p w:rsidR="007B7DB2" w:rsidRPr="00CC2602" w:rsidRDefault="007B7DB2" w:rsidP="007B7DB2">
      <w:pPr>
        <w:jc w:val="right"/>
        <w:rPr>
          <w:i/>
          <w:iCs/>
          <w:lang w:val="en-US"/>
        </w:rPr>
      </w:pPr>
      <w:r w:rsidRPr="00CC2602">
        <w:rPr>
          <w:i/>
          <w:iCs/>
          <w:u w:val="single"/>
          <w:lang w:val="en-US"/>
        </w:rPr>
        <w:t>AAOI N</w:t>
      </w:r>
      <w:r w:rsidRPr="00CC2602">
        <w:rPr>
          <w:i/>
          <w:iCs/>
          <w:u w:val="single"/>
          <w:vertAlign w:val="superscript"/>
          <w:lang w:val="en-US"/>
        </w:rPr>
        <w:t>o</w:t>
      </w:r>
      <w:r w:rsidRPr="00CC2602">
        <w:rPr>
          <w:i/>
          <w:iCs/>
          <w:lang w:val="en-US"/>
        </w:rPr>
        <w:t>: 142/DPEF/PNDSE/14</w:t>
      </w:r>
    </w:p>
    <w:p w:rsidR="007B7DB2" w:rsidRPr="0096630B" w:rsidRDefault="007B7DB2" w:rsidP="007B7DB2">
      <w:pPr>
        <w:jc w:val="right"/>
        <w:rPr>
          <w:i/>
          <w:iCs/>
        </w:rPr>
      </w:pPr>
      <w:r w:rsidRPr="0096630B">
        <w:rPr>
          <w:i/>
          <w:iCs/>
        </w:rPr>
        <w:t>Convention FSD N° 18/566 du 22 Août 2012</w:t>
      </w:r>
    </w:p>
    <w:p w:rsidR="007B7DB2" w:rsidRPr="0096630B" w:rsidRDefault="007B7DB2" w:rsidP="007B7DB2">
      <w:pPr>
        <w:jc w:val="center"/>
        <w:rPr>
          <w:b/>
          <w:bCs/>
          <w:i/>
          <w:iCs/>
        </w:rPr>
      </w:pPr>
    </w:p>
    <w:p w:rsidR="007B7DB2" w:rsidRPr="0096630B" w:rsidRDefault="007B7DB2" w:rsidP="007B7DB2">
      <w:pPr>
        <w:numPr>
          <w:ilvl w:val="0"/>
          <w:numId w:val="1"/>
        </w:numPr>
        <w:suppressAutoHyphens w:val="0"/>
        <w:overflowPunct/>
        <w:autoSpaceDE/>
        <w:autoSpaceDN/>
        <w:adjustRightInd/>
        <w:ind w:left="0" w:firstLine="0"/>
        <w:textAlignment w:val="auto"/>
        <w:rPr>
          <w:i/>
          <w:iCs/>
        </w:rPr>
      </w:pPr>
      <w:r w:rsidRPr="0096630B">
        <w:t xml:space="preserve">Cet Avis d’appel d’offres fait suite à l’Avis Général de Passation des Marchés paru dans le quotidien Horizon N° </w:t>
      </w:r>
      <w:r>
        <w:t>6420 du 04/01/2015</w:t>
      </w:r>
      <w:r w:rsidRPr="0096630B">
        <w:t xml:space="preserve">, et dans le site web du </w:t>
      </w:r>
      <w:hyperlink r:id="rId5" w:history="1">
        <w:r w:rsidRPr="0096630B">
          <w:rPr>
            <w:rStyle w:val="Lienhypertexte"/>
          </w:rPr>
          <w:t>www.pmd.mr</w:t>
        </w:r>
      </w:hyperlink>
      <w:r w:rsidRPr="0096630B">
        <w:t>.</w:t>
      </w:r>
    </w:p>
    <w:p w:rsidR="007B7DB2" w:rsidRPr="0096630B" w:rsidRDefault="007B7DB2" w:rsidP="007B7DB2">
      <w:pPr>
        <w:suppressAutoHyphens w:val="0"/>
        <w:overflowPunct/>
        <w:autoSpaceDE/>
        <w:autoSpaceDN/>
        <w:adjustRightInd/>
        <w:textAlignment w:val="auto"/>
        <w:rPr>
          <w:i/>
          <w:iCs/>
        </w:rPr>
      </w:pPr>
    </w:p>
    <w:p w:rsidR="007B7DB2" w:rsidRPr="0096630B" w:rsidRDefault="007B7DB2" w:rsidP="007B7DB2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</w:pPr>
      <w:r w:rsidRPr="0096630B">
        <w:t xml:space="preserve">Le Gouvernement de la République Islamique de Mauritanie a mis en place en collaboration avec ces principaux partenaires au développement, une ambitieuse stratégie de réforme et de modernisation du secteur de l'éducation nationale. Cette stratégie a été traduite dans le cadre d'un programme décennal intitulé Programme de Développement du secteur Educatif (PNDSE). </w:t>
      </w:r>
    </w:p>
    <w:p w:rsidR="007B7DB2" w:rsidRPr="0096630B" w:rsidRDefault="007B7DB2" w:rsidP="007B7DB2">
      <w:pPr>
        <w:suppressAutoHyphens w:val="0"/>
        <w:overflowPunct/>
        <w:autoSpaceDE/>
        <w:autoSpaceDN/>
        <w:adjustRightInd/>
        <w:spacing w:after="200"/>
        <w:textAlignment w:val="auto"/>
      </w:pPr>
      <w:r w:rsidRPr="0096630B">
        <w:t xml:space="preserve">C'est dans ce contexte que le Gouvernement Mauritanien a obtenu du Royaume frère de l'Arabie Saoudite (FSD) un </w:t>
      </w:r>
      <w:r>
        <w:t>don</w:t>
      </w:r>
      <w:r w:rsidRPr="0096630B">
        <w:t xml:space="preserve"> pour le développement de l'accès à l'enseignement fondamental. </w:t>
      </w:r>
    </w:p>
    <w:p w:rsidR="007B7DB2" w:rsidRPr="0096630B" w:rsidRDefault="007B7DB2" w:rsidP="007B7DB2">
      <w:pPr>
        <w:suppressAutoHyphens w:val="0"/>
        <w:overflowPunct/>
        <w:autoSpaceDE/>
        <w:autoSpaceDN/>
        <w:adjustRightInd/>
        <w:spacing w:after="200"/>
        <w:textAlignment w:val="auto"/>
      </w:pPr>
      <w:r w:rsidRPr="0096630B">
        <w:t xml:space="preserve">Dans ce cadre, la Direction des Projets Education - Formation (DPEF) </w:t>
      </w:r>
      <w:r w:rsidRPr="0096630B">
        <w:rPr>
          <w:rFonts w:cs="Times New Roman"/>
        </w:rPr>
        <w:t xml:space="preserve">a l'intention d'utiliser une partie de ces fonds </w:t>
      </w:r>
      <w:r w:rsidRPr="0096630B">
        <w:t xml:space="preserve">pour financer la construction, en trois lots séparés et indivisibles, de 35 écoles fondamentales modèles </w:t>
      </w:r>
      <w:r>
        <w:t>à l'intérieur du pays</w:t>
      </w:r>
      <w:r w:rsidRPr="0096630B">
        <w:t>.</w:t>
      </w:r>
    </w:p>
    <w:p w:rsidR="007B7DB2" w:rsidRDefault="007B7DB2" w:rsidP="007B7DB2">
      <w:pPr>
        <w:suppressAutoHyphens w:val="0"/>
        <w:overflowPunct/>
        <w:autoSpaceDE/>
        <w:autoSpaceDN/>
        <w:adjustRightInd/>
        <w:spacing w:after="200"/>
        <w:textAlignment w:val="auto"/>
      </w:pPr>
      <w:r w:rsidRPr="0096630B">
        <w:t xml:space="preserve">Les travaux seront exécutés dans un délai ne dépassant pas : </w:t>
      </w:r>
    </w:p>
    <w:p w:rsidR="007B7DB2" w:rsidRDefault="007B7DB2" w:rsidP="007B7DB2">
      <w:pPr>
        <w:suppressAutoHyphens w:val="0"/>
        <w:overflowPunct/>
        <w:autoSpaceDE/>
        <w:autoSpaceDN/>
        <w:adjustRightInd/>
        <w:spacing w:after="200"/>
        <w:textAlignment w:val="auto"/>
      </w:pPr>
      <w:r>
        <w:rPr>
          <w:b/>
        </w:rPr>
        <w:t xml:space="preserve">Quatorze </w:t>
      </w:r>
      <w:r>
        <w:t>(</w:t>
      </w:r>
      <w:r w:rsidRPr="006C62DD">
        <w:rPr>
          <w:b/>
        </w:rPr>
        <w:t>1</w:t>
      </w:r>
      <w:r>
        <w:rPr>
          <w:b/>
        </w:rPr>
        <w:t>4)</w:t>
      </w:r>
      <w:r w:rsidRPr="006C62DD">
        <w:rPr>
          <w:b/>
        </w:rPr>
        <w:t xml:space="preserve"> mois</w:t>
      </w:r>
      <w:r w:rsidRPr="0096630B">
        <w:t xml:space="preserve"> </w:t>
      </w:r>
      <w:r>
        <w:t>pour le l</w:t>
      </w:r>
      <w:r w:rsidRPr="0096630B">
        <w:t>ot</w:t>
      </w:r>
      <w:r>
        <w:t xml:space="preserve"> N°1</w:t>
      </w:r>
      <w:r w:rsidRPr="0096630B">
        <w:t xml:space="preserve"> </w:t>
      </w:r>
    </w:p>
    <w:p w:rsidR="007B7DB2" w:rsidRDefault="007B7DB2" w:rsidP="007B7DB2">
      <w:pPr>
        <w:suppressAutoHyphens w:val="0"/>
        <w:overflowPunct/>
        <w:autoSpaceDE/>
        <w:autoSpaceDN/>
        <w:adjustRightInd/>
        <w:spacing w:after="200"/>
        <w:textAlignment w:val="auto"/>
      </w:pPr>
      <w:r w:rsidRPr="00E958FC">
        <w:rPr>
          <w:b/>
        </w:rPr>
        <w:t>Douze</w:t>
      </w:r>
      <w:r>
        <w:t xml:space="preserve"> (</w:t>
      </w:r>
      <w:r>
        <w:rPr>
          <w:b/>
        </w:rPr>
        <w:t>12)</w:t>
      </w:r>
      <w:r w:rsidRPr="006C62DD">
        <w:rPr>
          <w:b/>
        </w:rPr>
        <w:t xml:space="preserve"> mois</w:t>
      </w:r>
      <w:r w:rsidRPr="0096630B">
        <w:t xml:space="preserve"> </w:t>
      </w:r>
      <w:r>
        <w:t>pour le l</w:t>
      </w:r>
      <w:r w:rsidRPr="0096630B">
        <w:t>ot</w:t>
      </w:r>
      <w:r>
        <w:t xml:space="preserve"> N°2</w:t>
      </w:r>
    </w:p>
    <w:p w:rsidR="007B7DB2" w:rsidRDefault="007B7DB2" w:rsidP="007B7DB2">
      <w:pPr>
        <w:suppressAutoHyphens w:val="0"/>
        <w:overflowPunct/>
        <w:autoSpaceDE/>
        <w:autoSpaceDN/>
        <w:adjustRightInd/>
        <w:spacing w:after="200"/>
        <w:textAlignment w:val="auto"/>
      </w:pPr>
      <w:r>
        <w:rPr>
          <w:b/>
        </w:rPr>
        <w:t xml:space="preserve">Treize </w:t>
      </w:r>
      <w:r>
        <w:t>(</w:t>
      </w:r>
      <w:r w:rsidRPr="006C62DD">
        <w:rPr>
          <w:b/>
        </w:rPr>
        <w:t>1</w:t>
      </w:r>
      <w:r>
        <w:rPr>
          <w:b/>
        </w:rPr>
        <w:t>3)</w:t>
      </w:r>
      <w:r w:rsidRPr="006C62DD">
        <w:rPr>
          <w:b/>
        </w:rPr>
        <w:t xml:space="preserve"> mois</w:t>
      </w:r>
      <w:r w:rsidRPr="0096630B">
        <w:t xml:space="preserve"> </w:t>
      </w:r>
      <w:r>
        <w:t>pour le l</w:t>
      </w:r>
      <w:r w:rsidRPr="0096630B">
        <w:t>ot</w:t>
      </w:r>
      <w:r>
        <w:t xml:space="preserve"> N°3</w:t>
      </w:r>
      <w:r w:rsidRPr="0096630B">
        <w:t xml:space="preserve"> </w:t>
      </w:r>
    </w:p>
    <w:p w:rsidR="007B7DB2" w:rsidRDefault="007B7DB2" w:rsidP="007B7DB2">
      <w:pPr>
        <w:suppressAutoHyphens w:val="0"/>
        <w:overflowPunct/>
        <w:autoSpaceDE/>
        <w:autoSpaceDN/>
        <w:adjustRightInd/>
        <w:spacing w:after="200"/>
        <w:textAlignment w:val="auto"/>
      </w:pPr>
      <w:r w:rsidRPr="00E958FC">
        <w:rPr>
          <w:b/>
        </w:rPr>
        <w:t>Douze</w:t>
      </w:r>
      <w:r>
        <w:t xml:space="preserve"> (</w:t>
      </w:r>
      <w:r>
        <w:rPr>
          <w:b/>
        </w:rPr>
        <w:t>12)</w:t>
      </w:r>
      <w:r w:rsidRPr="006C62DD">
        <w:rPr>
          <w:b/>
        </w:rPr>
        <w:t xml:space="preserve"> mois</w:t>
      </w:r>
      <w:r w:rsidRPr="0096630B">
        <w:t xml:space="preserve"> </w:t>
      </w:r>
      <w:r>
        <w:t>pour le l</w:t>
      </w:r>
      <w:r w:rsidRPr="0096630B">
        <w:t>ot</w:t>
      </w:r>
      <w:r>
        <w:t xml:space="preserve"> N°4</w:t>
      </w:r>
    </w:p>
    <w:p w:rsidR="007B7DB2" w:rsidRPr="0096630B" w:rsidRDefault="007B7DB2" w:rsidP="007B7DB2">
      <w:pPr>
        <w:suppressAutoHyphens w:val="0"/>
        <w:overflowPunct/>
        <w:autoSpaceDE/>
        <w:autoSpaceDN/>
        <w:adjustRightInd/>
        <w:spacing w:after="200"/>
        <w:textAlignment w:val="auto"/>
      </w:pPr>
      <w:r w:rsidRPr="0096630B">
        <w:t xml:space="preserve">La DPEF sollicite des offres sous pli fermé de la part de candidats éligibles et répondant aux qualifications requises pour exécuter les travaux suivants en </w:t>
      </w:r>
      <w:r w:rsidRPr="0096630B">
        <w:rPr>
          <w:b/>
        </w:rPr>
        <w:t>0</w:t>
      </w:r>
      <w:r>
        <w:rPr>
          <w:b/>
        </w:rPr>
        <w:t>4</w:t>
      </w:r>
      <w:r w:rsidRPr="0096630B">
        <w:rPr>
          <w:b/>
        </w:rPr>
        <w:t xml:space="preserve"> lots :</w:t>
      </w:r>
    </w:p>
    <w:p w:rsidR="007B7DB2" w:rsidRDefault="007B7DB2" w:rsidP="007B7DB2">
      <w:pPr>
        <w:pStyle w:val="Paragraphedeliste"/>
        <w:tabs>
          <w:tab w:val="right" w:pos="7272"/>
        </w:tabs>
        <w:spacing w:after="200"/>
        <w:ind w:left="720"/>
      </w:pPr>
      <w:r w:rsidRPr="0096630B">
        <w:rPr>
          <w:rFonts w:cs="Times New Roman"/>
          <w:sz w:val="22"/>
          <w:szCs w:val="22"/>
        </w:rPr>
        <w:t xml:space="preserve">Nombre et identification des lots faisant l’objet du présent appel d’offres : </w:t>
      </w:r>
      <w:r w:rsidRPr="0096630B">
        <w:tab/>
      </w:r>
    </w:p>
    <w:tbl>
      <w:tblPr>
        <w:tblW w:w="878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1982"/>
        <w:gridCol w:w="1220"/>
        <w:gridCol w:w="1220"/>
        <w:gridCol w:w="2400"/>
        <w:gridCol w:w="765"/>
        <w:gridCol w:w="587"/>
      </w:tblGrid>
      <w:tr w:rsidR="007B7DB2" w:rsidRPr="00970291" w:rsidTr="00B84660">
        <w:trPr>
          <w:trHeight w:val="5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702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LOT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Wilaya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Moughataa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Commune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Lieu de l'</w:t>
            </w:r>
            <w:proofErr w:type="spellStart"/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ecole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97029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Nombre écoles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97029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Total écoles</w:t>
            </w: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702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LOT 1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Trarza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Rosso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Rosso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Rosso 3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Km 7(1)</w:t>
            </w: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Houda</w:t>
            </w:r>
            <w:proofErr w:type="spellEnd"/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Km 7(2)</w:t>
            </w: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Faroughe</w:t>
            </w:r>
            <w:proofErr w:type="spellEnd"/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Adrar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Atar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Atar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Ecole 5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Haye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Kenewal</w:t>
            </w:r>
            <w:proofErr w:type="spellEnd"/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Dakhlet</w:t>
            </w:r>
            <w:proofErr w:type="spellEnd"/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Nouadhibou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Nouadhibou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Nouadhibou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Haye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Hopital</w:t>
            </w:r>
            <w:proofErr w:type="spellEnd"/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 central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Haye Madrid</w:t>
            </w:r>
          </w:p>
        </w:tc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Inchiri</w:t>
            </w:r>
            <w:proofErr w:type="spellEnd"/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Akjoujt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Akjoujt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Kediette</w:t>
            </w:r>
            <w:proofErr w:type="spellEnd"/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Oumegrayn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Nouakchott 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Ksar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Ksar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Haye lycée d'excellence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702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Lot 2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Assaba</w:t>
            </w:r>
            <w:proofErr w:type="spellEnd"/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Kiffa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Kiffa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Haye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Doubaye</w:t>
            </w:r>
            <w:proofErr w:type="spellEnd"/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Haye El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Metar</w:t>
            </w:r>
            <w:proofErr w:type="spellEnd"/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Haye SONADER 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</w:rPr>
              <w:t>Kankoussa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</w:rPr>
              <w:t>Kankoussa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</w:rPr>
              <w:t>Kankoussa2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Tagant</w:t>
            </w:r>
            <w:proofErr w:type="spellEnd"/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252525"/>
              </w:rPr>
            </w:pPr>
            <w:proofErr w:type="spellStart"/>
            <w:r w:rsidRPr="00970291">
              <w:rPr>
                <w:rFonts w:cs="Times New Roman"/>
                <w:color w:val="252525"/>
                <w:sz w:val="22"/>
                <w:szCs w:val="22"/>
              </w:rPr>
              <w:t>Tidjikja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Ibne</w:t>
            </w:r>
            <w:proofErr w:type="spellEnd"/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 Amir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kidia</w:t>
            </w:r>
            <w:proofErr w:type="spellEnd"/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252525"/>
              </w:rPr>
            </w:pPr>
            <w:proofErr w:type="spellStart"/>
            <w:r w:rsidRPr="00970291">
              <w:rPr>
                <w:rFonts w:cs="Times New Roman"/>
                <w:color w:val="252525"/>
                <w:sz w:val="22"/>
                <w:szCs w:val="22"/>
              </w:rPr>
              <w:t>Moudjeria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Essoudoude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Echrame</w:t>
            </w:r>
            <w:proofErr w:type="spellEnd"/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702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LOT 3</w:t>
            </w:r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Gorgol</w:t>
            </w:r>
            <w:proofErr w:type="spellEnd"/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Kaedi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Lekssaiba</w:t>
            </w:r>
            <w:proofErr w:type="spellEnd"/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Ecol</w:t>
            </w:r>
            <w:proofErr w:type="spellEnd"/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Houda</w:t>
            </w:r>
            <w:proofErr w:type="spellEnd"/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Mongel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Mongel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Mongel</w:t>
            </w:r>
            <w:proofErr w:type="spellEnd"/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Brakna</w:t>
            </w:r>
            <w:proofErr w:type="spellEnd"/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Magta</w:t>
            </w:r>
            <w:proofErr w:type="spellEnd"/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Lehjar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Magta</w:t>
            </w:r>
            <w:proofErr w:type="spellEnd"/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Lehjar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Magta</w:t>
            </w:r>
            <w:proofErr w:type="spellEnd"/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Lehjar</w:t>
            </w:r>
            <w:proofErr w:type="spellEnd"/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Aleg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Bouhdida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Bouhdida</w:t>
            </w:r>
            <w:proofErr w:type="spellEnd"/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Boghé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Dar El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Barka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Ecole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Wifaghe</w:t>
            </w:r>
            <w:proofErr w:type="spellEnd"/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Guidimakha</w:t>
            </w:r>
            <w:proofErr w:type="spellEnd"/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Seilibaby</w:t>
            </w:r>
            <w:proofErr w:type="spellEnd"/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Seilibaby</w:t>
            </w:r>
            <w:proofErr w:type="spellEnd"/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Haye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Nezaha</w:t>
            </w:r>
            <w:proofErr w:type="spellEnd"/>
          </w:p>
        </w:tc>
        <w:tc>
          <w:tcPr>
            <w:tcW w:w="6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Reg des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ecoles</w:t>
            </w:r>
            <w:proofErr w:type="spellEnd"/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Embeghira</w:t>
            </w:r>
            <w:proofErr w:type="spellEnd"/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1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Haye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Tadressa</w:t>
            </w:r>
            <w:proofErr w:type="spellEnd"/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Ould</w:t>
            </w:r>
            <w:proofErr w:type="spellEnd"/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Yenje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Leboully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proofErr w:type="gramStart"/>
            <w:r w:rsidRPr="00970291">
              <w:rPr>
                <w:rFonts w:cs="Times New Roman"/>
                <w:color w:val="000000"/>
                <w:sz w:val="22"/>
                <w:szCs w:val="22"/>
              </w:rPr>
              <w:t>Echalkha</w:t>
            </w:r>
            <w:proofErr w:type="spellEnd"/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Edakhna</w:t>
            </w:r>
            <w:proofErr w:type="spellEnd"/>
            <w:proofErr w:type="gramEnd"/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702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LOT 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Hodh</w:t>
            </w:r>
            <w:proofErr w:type="spellEnd"/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Echarghi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Nema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Nema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proofErr w:type="gramStart"/>
            <w:r w:rsidRPr="00970291">
              <w:rPr>
                <w:rFonts w:cs="Times New Roman"/>
                <w:color w:val="000000"/>
                <w:sz w:val="22"/>
                <w:szCs w:val="22"/>
              </w:rPr>
              <w:t>Malgha</w:t>
            </w:r>
            <w:proofErr w:type="spellEnd"/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Lebtahe</w:t>
            </w:r>
            <w:proofErr w:type="spellEnd"/>
            <w:proofErr w:type="gramEnd"/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Haye El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Miyahe</w:t>
            </w:r>
            <w:proofErr w:type="spellEnd"/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Garage de la Mairie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Timbedra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Timbedra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Haye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E</w:t>
            </w:r>
            <w:r w:rsidRPr="00970291">
              <w:rPr>
                <w:rFonts w:cs="Times New Roman"/>
                <w:color w:val="000000"/>
                <w:sz w:val="22"/>
                <w:szCs w:val="22"/>
              </w:rPr>
              <w:t>hl</w:t>
            </w:r>
            <w:proofErr w:type="spellEnd"/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Veteh</w:t>
            </w:r>
            <w:proofErr w:type="spellEnd"/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Haye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sava</w:t>
            </w:r>
            <w:proofErr w:type="spellEnd"/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Hodh</w:t>
            </w:r>
            <w:proofErr w:type="spellEnd"/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El Gharbi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Aioun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Aioun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Beitara</w:t>
            </w:r>
            <w:proofErr w:type="spellEnd"/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Leghneiba</w:t>
            </w:r>
            <w:proofErr w:type="spellEnd"/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Koubenni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Koubenni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 xml:space="preserve">Le Pont : El </w:t>
            </w: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jesr</w:t>
            </w:r>
            <w:proofErr w:type="spellEnd"/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proofErr w:type="spellStart"/>
            <w:r w:rsidRPr="00970291">
              <w:rPr>
                <w:rFonts w:cs="Times New Roman"/>
                <w:color w:val="000000"/>
                <w:sz w:val="22"/>
                <w:szCs w:val="22"/>
              </w:rPr>
              <w:t>Tamchekett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Sava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Sava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B7DB2" w:rsidRPr="00970291" w:rsidTr="00B84660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702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00"/>
              </w:rPr>
            </w:pPr>
            <w:r w:rsidRPr="00970291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70291" w:rsidRDefault="007B7DB2" w:rsidP="00B84660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0000"/>
              </w:rPr>
            </w:pPr>
            <w:r w:rsidRPr="0097029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</w:tbl>
    <w:p w:rsidR="007B7DB2" w:rsidRDefault="007B7DB2" w:rsidP="007B7DB2">
      <w:pPr>
        <w:pStyle w:val="Paragraphedeliste"/>
        <w:tabs>
          <w:tab w:val="right" w:pos="7272"/>
        </w:tabs>
        <w:spacing w:after="200"/>
        <w:ind w:left="720"/>
      </w:pPr>
    </w:p>
    <w:p w:rsidR="007B7DB2" w:rsidRPr="00A8172C" w:rsidRDefault="007B7DB2" w:rsidP="007B7DB2">
      <w:pPr>
        <w:pStyle w:val="Paragraphedeliste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textAlignment w:val="auto"/>
      </w:pPr>
      <w:r w:rsidRPr="00A8172C">
        <w:t xml:space="preserve">Le présent appel d'offres </w:t>
      </w:r>
      <w:r w:rsidRPr="00A8172C">
        <w:rPr>
          <w:bCs/>
        </w:rPr>
        <w:t xml:space="preserve">est ouvert </w:t>
      </w:r>
      <w:r w:rsidRPr="00A8172C">
        <w:t>à tous les candidats remplissant les conditions définies dans le Dossier d'Appel d'Offres International et n’étant pas frappés par l’une des exclusions visées à l’article 24 de la</w:t>
      </w:r>
      <w:r w:rsidRPr="00A8172C">
        <w:rPr>
          <w:bCs/>
        </w:rPr>
        <w:t xml:space="preserve"> loi n° 2010-044 du 22 juillet 2010 portant Code des Marchés Publics</w:t>
      </w:r>
      <w:r w:rsidRPr="00A8172C">
        <w:t>.</w:t>
      </w:r>
    </w:p>
    <w:p w:rsidR="007B7DB2" w:rsidRPr="00A8172C" w:rsidRDefault="007B7DB2" w:rsidP="007B7DB2">
      <w:pPr>
        <w:pStyle w:val="Paragraphedeliste"/>
        <w:numPr>
          <w:ilvl w:val="0"/>
          <w:numId w:val="1"/>
        </w:numPr>
      </w:pPr>
      <w:r w:rsidRPr="00A8172C">
        <w:t>La DPEF se réserve le droit de ne pas donner suite à ce présent DAOI ou de ne donner qu’une suite partielle.</w:t>
      </w:r>
    </w:p>
    <w:p w:rsidR="007B7DB2" w:rsidRPr="00A8172C" w:rsidRDefault="007B7DB2" w:rsidP="007B7DB2">
      <w:pPr>
        <w:pStyle w:val="Paragraphedeliste"/>
        <w:ind w:left="720"/>
      </w:pPr>
    </w:p>
    <w:p w:rsidR="007B7DB2" w:rsidRPr="00A8172C" w:rsidRDefault="007B7DB2" w:rsidP="007B7DB2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  <w:contextualSpacing/>
        <w:textAlignment w:val="auto"/>
      </w:pPr>
      <w:r w:rsidRPr="00A8172C">
        <w:t xml:space="preserve">Les soumissionnaires intéressés à concourir peuvent obtenir des informations supplémentaires auprès de Monsieur Mohamed </w:t>
      </w:r>
      <w:proofErr w:type="spellStart"/>
      <w:r w:rsidRPr="00A8172C">
        <w:t>Ould</w:t>
      </w:r>
      <w:proofErr w:type="spellEnd"/>
      <w:r w:rsidRPr="00A8172C">
        <w:t xml:space="preserve"> Sidi Mohamed, E-mail : </w:t>
      </w:r>
      <w:hyperlink r:id="rId6" w:history="1">
        <w:r w:rsidRPr="00A8172C">
          <w:t>mosm@dpef.mr</w:t>
        </w:r>
      </w:hyperlink>
      <w:r w:rsidRPr="00A8172C">
        <w:t xml:space="preserve"> et prendre connaissance des documents d’Appel d’offres à l’adresse suivante : </w:t>
      </w:r>
    </w:p>
    <w:p w:rsidR="007B7DB2" w:rsidRPr="00A8172C" w:rsidRDefault="007B7DB2" w:rsidP="007B7DB2">
      <w:pPr>
        <w:pStyle w:val="Paragraphedeliste"/>
        <w:suppressAutoHyphens w:val="0"/>
        <w:overflowPunct/>
        <w:autoSpaceDE/>
        <w:adjustRightInd/>
        <w:spacing w:after="200"/>
        <w:ind w:left="720"/>
        <w:contextualSpacing/>
        <w:jc w:val="center"/>
        <w:textAlignment w:val="auto"/>
        <w:rPr>
          <w:b/>
        </w:rPr>
      </w:pPr>
      <w:r w:rsidRPr="00A8172C">
        <w:rPr>
          <w:b/>
        </w:rPr>
        <w:t xml:space="preserve">Direction des Projet Education – Formation, </w:t>
      </w:r>
    </w:p>
    <w:p w:rsidR="007B7DB2" w:rsidRPr="00A8172C" w:rsidRDefault="007B7DB2" w:rsidP="007B7DB2">
      <w:pPr>
        <w:pStyle w:val="Paragraphedeliste"/>
        <w:suppressAutoHyphens w:val="0"/>
        <w:overflowPunct/>
        <w:autoSpaceDE/>
        <w:adjustRightInd/>
        <w:spacing w:after="200"/>
        <w:ind w:left="720"/>
        <w:contextualSpacing/>
        <w:jc w:val="center"/>
        <w:textAlignment w:val="auto"/>
        <w:rPr>
          <w:b/>
        </w:rPr>
      </w:pPr>
      <w:r w:rsidRPr="00A8172C">
        <w:rPr>
          <w:b/>
        </w:rPr>
        <w:t>Rue 42 037 TZ Nouakchott Mauritanie</w:t>
      </w:r>
    </w:p>
    <w:p w:rsidR="007B7DB2" w:rsidRPr="00A8172C" w:rsidRDefault="007B7DB2" w:rsidP="007B7DB2">
      <w:pPr>
        <w:pStyle w:val="Paragraphedeliste"/>
        <w:suppressAutoHyphens w:val="0"/>
        <w:overflowPunct/>
        <w:autoSpaceDE/>
        <w:adjustRightInd/>
        <w:spacing w:after="200"/>
        <w:ind w:left="720"/>
        <w:contextualSpacing/>
        <w:jc w:val="center"/>
        <w:textAlignment w:val="auto"/>
        <w:rPr>
          <w:b/>
        </w:rPr>
      </w:pPr>
      <w:r w:rsidRPr="00A8172C">
        <w:rPr>
          <w:b/>
        </w:rPr>
        <w:t xml:space="preserve"> Téléphone (222) 45 25 20 63 ; (222) 45 29 12 03 &amp; 45 29 12 04, </w:t>
      </w:r>
    </w:p>
    <w:p w:rsidR="007B7DB2" w:rsidRPr="00A8172C" w:rsidRDefault="007B7DB2" w:rsidP="007B7DB2">
      <w:pPr>
        <w:pStyle w:val="Paragraphedeliste"/>
        <w:suppressAutoHyphens w:val="0"/>
        <w:overflowPunct/>
        <w:autoSpaceDE/>
        <w:adjustRightInd/>
        <w:spacing w:after="200"/>
        <w:ind w:left="720"/>
        <w:contextualSpacing/>
        <w:jc w:val="center"/>
        <w:textAlignment w:val="auto"/>
        <w:rPr>
          <w:b/>
        </w:rPr>
      </w:pPr>
      <w:r w:rsidRPr="00A8172C">
        <w:rPr>
          <w:b/>
        </w:rPr>
        <w:t> </w:t>
      </w:r>
      <w:proofErr w:type="gramStart"/>
      <w:r w:rsidRPr="00A8172C">
        <w:rPr>
          <w:b/>
        </w:rPr>
        <w:t>de</w:t>
      </w:r>
      <w:proofErr w:type="gramEnd"/>
      <w:r w:rsidRPr="00A8172C">
        <w:rPr>
          <w:b/>
        </w:rPr>
        <w:t xml:space="preserve"> 09 Heures du matin à 16 heures de l’après Midi (Heure GMT), pendant les jours ouvrables.</w:t>
      </w:r>
    </w:p>
    <w:p w:rsidR="007B7DB2" w:rsidRPr="00A8172C" w:rsidRDefault="007B7DB2" w:rsidP="007B7DB2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</w:pPr>
      <w:r w:rsidRPr="00A8172C">
        <w:lastRenderedPageBreak/>
        <w:t xml:space="preserve">Les exigences en matière de qualification sont : </w:t>
      </w:r>
    </w:p>
    <w:p w:rsidR="007B7DB2" w:rsidRPr="00A8172C" w:rsidRDefault="007B7DB2" w:rsidP="007B7DB2">
      <w:pPr>
        <w:numPr>
          <w:ilvl w:val="0"/>
          <w:numId w:val="3"/>
        </w:numPr>
        <w:suppressAutoHyphens w:val="0"/>
        <w:overflowPunct/>
        <w:autoSpaceDE/>
        <w:autoSpaceDN/>
        <w:adjustRightInd/>
        <w:ind w:left="1069"/>
        <w:textAlignment w:val="auto"/>
      </w:pPr>
      <w:r w:rsidRPr="00A8172C">
        <w:t xml:space="preserve">avoir réalisé un chiffre d’affaire moyen, pour les travaux de construction durant les </w:t>
      </w:r>
      <w:r>
        <w:t>cinq</w:t>
      </w:r>
      <w:r w:rsidRPr="00A8172C">
        <w:t xml:space="preserve"> dernières années, d’un montant équivalent à :</w:t>
      </w:r>
    </w:p>
    <w:p w:rsidR="007B7DB2" w:rsidRPr="00A8172C" w:rsidRDefault="007B7DB2" w:rsidP="007B7DB2">
      <w:pPr>
        <w:suppressAutoHyphens w:val="0"/>
        <w:overflowPunct/>
        <w:autoSpaceDE/>
        <w:autoSpaceDN/>
        <w:adjustRightInd/>
        <w:textAlignment w:val="auto"/>
      </w:pPr>
    </w:p>
    <w:tbl>
      <w:tblPr>
        <w:tblW w:w="94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3"/>
        <w:gridCol w:w="2922"/>
        <w:gridCol w:w="3655"/>
      </w:tblGrid>
      <w:tr w:rsidR="007B7DB2" w:rsidRPr="0096630B" w:rsidTr="00B84660">
        <w:trPr>
          <w:trHeight w:val="30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B2" w:rsidRPr="00A8172C" w:rsidRDefault="007B7DB2" w:rsidP="00B84660">
            <w:pPr>
              <w:jc w:val="center"/>
              <w:rPr>
                <w:rFonts w:cs="Times New Roman"/>
              </w:rPr>
            </w:pPr>
            <w:r w:rsidRPr="00A8172C">
              <w:rPr>
                <w:rFonts w:cs="Times New Roman"/>
                <w:sz w:val="22"/>
                <w:szCs w:val="22"/>
              </w:rPr>
              <w:t>Allotissement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A8172C" w:rsidRDefault="007B7DB2" w:rsidP="00B84660">
            <w:pPr>
              <w:jc w:val="center"/>
              <w:rPr>
                <w:rFonts w:cs="Times New Roman"/>
              </w:rPr>
            </w:pPr>
            <w:r w:rsidRPr="00A8172C">
              <w:rPr>
                <w:rFonts w:cs="Times New Roman"/>
                <w:sz w:val="22"/>
                <w:szCs w:val="22"/>
              </w:rPr>
              <w:t>Chiffre d'affaires moyen annuel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B2" w:rsidRPr="0096630B" w:rsidRDefault="007B7DB2" w:rsidP="00B84660">
            <w:pPr>
              <w:jc w:val="center"/>
              <w:rPr>
                <w:rFonts w:cs="Times New Roman"/>
              </w:rPr>
            </w:pPr>
            <w:r w:rsidRPr="00A8172C">
              <w:rPr>
                <w:rFonts w:cs="Times New Roman"/>
                <w:sz w:val="22"/>
                <w:szCs w:val="22"/>
              </w:rPr>
              <w:t>Monnaie</w:t>
            </w:r>
            <w:r w:rsidRPr="0096630B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7B7DB2" w:rsidRPr="0096630B" w:rsidTr="00B84660">
        <w:trPr>
          <w:trHeight w:val="848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</w:rPr>
            </w:pPr>
            <w:r w:rsidRPr="0096630B">
              <w:rPr>
                <w:rFonts w:cs="Times New Roman"/>
                <w:sz w:val="22"/>
                <w:szCs w:val="22"/>
              </w:rPr>
              <w:t>Lot 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  <w:b/>
              </w:rPr>
            </w:pPr>
            <w:r w:rsidRPr="0096630B">
              <w:rPr>
                <w:rFonts w:cs="Times New Roman"/>
                <w:b/>
                <w:sz w:val="22"/>
                <w:szCs w:val="22"/>
              </w:rPr>
              <w:t xml:space="preserve">1 </w:t>
            </w:r>
            <w:r>
              <w:rPr>
                <w:rFonts w:cs="Times New Roman"/>
                <w:b/>
                <w:sz w:val="22"/>
                <w:szCs w:val="22"/>
              </w:rPr>
              <w:t>7</w:t>
            </w:r>
            <w:r w:rsidRPr="0096630B">
              <w:rPr>
                <w:rFonts w:cs="Times New Roman"/>
                <w:b/>
                <w:sz w:val="22"/>
                <w:szCs w:val="22"/>
              </w:rPr>
              <w:t>00 000 000 MRO</w:t>
            </w:r>
          </w:p>
          <w:p w:rsidR="007B7DB2" w:rsidRPr="0096630B" w:rsidRDefault="007B7DB2" w:rsidP="00B84660">
            <w:pPr>
              <w:jc w:val="center"/>
              <w:rPr>
                <w:rFonts w:cs="Times New Roman"/>
                <w:b/>
                <w:rtl/>
                <w:lang w:bidi="ar-MA"/>
              </w:rPr>
            </w:pPr>
            <w:r w:rsidRPr="0096630B">
              <w:rPr>
                <w:rFonts w:cs="Times New Roman"/>
                <w:b/>
                <w:sz w:val="22"/>
                <w:szCs w:val="22"/>
              </w:rPr>
              <w:t xml:space="preserve">(Un Milliard </w:t>
            </w:r>
            <w:r>
              <w:rPr>
                <w:rFonts w:cs="Times New Roman"/>
                <w:b/>
                <w:sz w:val="22"/>
                <w:szCs w:val="22"/>
              </w:rPr>
              <w:t>sept</w:t>
            </w:r>
            <w:r w:rsidRPr="0096630B">
              <w:rPr>
                <w:rFonts w:cs="Times New Roman"/>
                <w:b/>
                <w:sz w:val="22"/>
                <w:szCs w:val="22"/>
              </w:rPr>
              <w:t xml:space="preserve"> Cent Millions d’Ouguiya)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DB2" w:rsidRPr="0096630B" w:rsidRDefault="007B7DB2" w:rsidP="00B84660">
            <w:r w:rsidRPr="0096630B">
              <w:rPr>
                <w:rFonts w:cs="Times New Roman"/>
                <w:b/>
                <w:sz w:val="22"/>
                <w:szCs w:val="22"/>
              </w:rPr>
              <w:t>ou son équivalent en monnaies librement convertibles</w:t>
            </w:r>
          </w:p>
        </w:tc>
      </w:tr>
      <w:tr w:rsidR="007B7DB2" w:rsidRPr="0096630B" w:rsidTr="00B84660">
        <w:trPr>
          <w:trHeight w:val="300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</w:rPr>
            </w:pPr>
            <w:r w:rsidRPr="0096630B">
              <w:rPr>
                <w:rFonts w:cs="Times New Roman"/>
                <w:sz w:val="22"/>
                <w:szCs w:val="22"/>
              </w:rPr>
              <w:t>Lot 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  <w:b/>
              </w:rPr>
            </w:pPr>
            <w:r w:rsidRPr="0096630B">
              <w:rPr>
                <w:rFonts w:cs="Times New Roman"/>
                <w:b/>
                <w:sz w:val="22"/>
                <w:szCs w:val="22"/>
              </w:rPr>
              <w:t xml:space="preserve">1 </w:t>
            </w:r>
            <w:r>
              <w:rPr>
                <w:rFonts w:cs="Times New Roman"/>
                <w:b/>
                <w:sz w:val="22"/>
                <w:szCs w:val="22"/>
              </w:rPr>
              <w:t>0</w:t>
            </w:r>
            <w:r w:rsidRPr="0096630B">
              <w:rPr>
                <w:rFonts w:cs="Times New Roman"/>
                <w:b/>
                <w:sz w:val="22"/>
                <w:szCs w:val="22"/>
              </w:rPr>
              <w:t>00 000 000 MRO</w:t>
            </w:r>
          </w:p>
          <w:p w:rsidR="007B7DB2" w:rsidRPr="0096630B" w:rsidRDefault="007B7DB2" w:rsidP="00B84660">
            <w:pPr>
              <w:jc w:val="center"/>
              <w:rPr>
                <w:rFonts w:cs="Times New Roman"/>
                <w:b/>
              </w:rPr>
            </w:pPr>
            <w:r w:rsidRPr="0096630B">
              <w:rPr>
                <w:rFonts w:cs="Times New Roman"/>
                <w:b/>
                <w:sz w:val="22"/>
                <w:szCs w:val="22"/>
              </w:rPr>
              <w:t xml:space="preserve"> (Un Milliard d’Ouguiya)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DB2" w:rsidRPr="0096630B" w:rsidRDefault="007B7DB2" w:rsidP="00B84660">
            <w:r w:rsidRPr="0096630B">
              <w:rPr>
                <w:rFonts w:cs="Times New Roman"/>
                <w:b/>
                <w:sz w:val="22"/>
                <w:szCs w:val="22"/>
              </w:rPr>
              <w:t>ou son équivalent en monnaies librement convertibles</w:t>
            </w:r>
          </w:p>
        </w:tc>
      </w:tr>
      <w:tr w:rsidR="007B7DB2" w:rsidRPr="0096630B" w:rsidTr="00B84660">
        <w:trPr>
          <w:trHeight w:val="300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</w:rPr>
            </w:pPr>
            <w:r w:rsidRPr="0096630B">
              <w:rPr>
                <w:rFonts w:cs="Times New Roman"/>
                <w:sz w:val="22"/>
                <w:szCs w:val="22"/>
              </w:rPr>
              <w:t>Lot 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  <w:b/>
              </w:rPr>
            </w:pPr>
            <w:r w:rsidRPr="0096630B">
              <w:rPr>
                <w:rFonts w:cs="Times New Roman"/>
                <w:b/>
                <w:sz w:val="22"/>
                <w:szCs w:val="22"/>
              </w:rPr>
              <w:t>1 400 000 000 MRO</w:t>
            </w:r>
          </w:p>
          <w:p w:rsidR="007B7DB2" w:rsidRPr="0096630B" w:rsidRDefault="007B7DB2" w:rsidP="00B84660">
            <w:pPr>
              <w:jc w:val="center"/>
              <w:rPr>
                <w:rFonts w:cs="Times New Roman"/>
                <w:b/>
                <w:rtl/>
                <w:lang w:bidi="ar-MA"/>
              </w:rPr>
            </w:pPr>
            <w:r w:rsidRPr="0096630B">
              <w:rPr>
                <w:rFonts w:cs="Times New Roman"/>
                <w:b/>
                <w:sz w:val="22"/>
                <w:szCs w:val="22"/>
              </w:rPr>
              <w:t>(Un Milliard Quatre Cent Millions d’Ouguiya)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DB2" w:rsidRPr="0096630B" w:rsidRDefault="007B7DB2" w:rsidP="00B84660">
            <w:pPr>
              <w:rPr>
                <w:rFonts w:cs="Times New Roman"/>
                <w:b/>
              </w:rPr>
            </w:pPr>
            <w:r w:rsidRPr="0096630B">
              <w:rPr>
                <w:rFonts w:cs="Times New Roman"/>
                <w:b/>
                <w:sz w:val="22"/>
                <w:szCs w:val="22"/>
              </w:rPr>
              <w:t>ou son équivalent en monnaies librement convertibles</w:t>
            </w:r>
          </w:p>
        </w:tc>
      </w:tr>
      <w:tr w:rsidR="007B7DB2" w:rsidRPr="0096630B" w:rsidTr="00B84660">
        <w:trPr>
          <w:trHeight w:val="30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</w:rPr>
            </w:pPr>
            <w:r w:rsidRPr="0096630B">
              <w:rPr>
                <w:rFonts w:cs="Times New Roman"/>
                <w:sz w:val="22"/>
                <w:szCs w:val="22"/>
              </w:rPr>
              <w:t xml:space="preserve">Lot </w:t>
            </w: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  <w:b/>
              </w:rPr>
            </w:pPr>
            <w:r w:rsidRPr="0096630B">
              <w:rPr>
                <w:rFonts w:cs="Times New Roman"/>
                <w:b/>
                <w:sz w:val="22"/>
                <w:szCs w:val="22"/>
              </w:rPr>
              <w:t xml:space="preserve">1 </w:t>
            </w:r>
            <w:r>
              <w:rPr>
                <w:rFonts w:cs="Times New Roman"/>
                <w:b/>
                <w:sz w:val="22"/>
                <w:szCs w:val="22"/>
              </w:rPr>
              <w:t>4</w:t>
            </w:r>
            <w:r w:rsidRPr="0096630B">
              <w:rPr>
                <w:rFonts w:cs="Times New Roman"/>
                <w:b/>
                <w:sz w:val="22"/>
                <w:szCs w:val="22"/>
              </w:rPr>
              <w:t>00 000 000 MRO</w:t>
            </w:r>
          </w:p>
          <w:p w:rsidR="007B7DB2" w:rsidRPr="0096630B" w:rsidRDefault="007B7DB2" w:rsidP="00B84660">
            <w:pPr>
              <w:jc w:val="center"/>
              <w:rPr>
                <w:rFonts w:cs="Times New Roman"/>
                <w:b/>
              </w:rPr>
            </w:pPr>
            <w:r w:rsidRPr="0096630B">
              <w:rPr>
                <w:rFonts w:cs="Times New Roman"/>
                <w:b/>
                <w:sz w:val="22"/>
                <w:szCs w:val="22"/>
              </w:rPr>
              <w:t xml:space="preserve"> (Un Milliard </w:t>
            </w:r>
            <w:r>
              <w:rPr>
                <w:rFonts w:cs="Times New Roman"/>
                <w:b/>
                <w:sz w:val="22"/>
                <w:szCs w:val="22"/>
              </w:rPr>
              <w:t>Quatre</w:t>
            </w:r>
            <w:r w:rsidRPr="0096630B">
              <w:rPr>
                <w:rFonts w:cs="Times New Roman"/>
                <w:b/>
                <w:sz w:val="22"/>
                <w:szCs w:val="22"/>
              </w:rPr>
              <w:t xml:space="preserve"> Cent Millions d’Ouguiya)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DB2" w:rsidRPr="0096630B" w:rsidRDefault="007B7DB2" w:rsidP="00B84660">
            <w:pPr>
              <w:rPr>
                <w:rFonts w:cs="Times New Roman"/>
                <w:b/>
              </w:rPr>
            </w:pPr>
            <w:r w:rsidRPr="0096630B">
              <w:rPr>
                <w:rFonts w:cs="Times New Roman"/>
                <w:b/>
                <w:sz w:val="22"/>
                <w:szCs w:val="22"/>
              </w:rPr>
              <w:t>ou son équivalent en monnaies librement convertibles</w:t>
            </w:r>
          </w:p>
        </w:tc>
      </w:tr>
    </w:tbl>
    <w:p w:rsidR="007B7DB2" w:rsidRPr="0096630B" w:rsidRDefault="007B7DB2" w:rsidP="007B7DB2">
      <w:pPr>
        <w:suppressAutoHyphens w:val="0"/>
        <w:overflowPunct/>
        <w:autoSpaceDE/>
        <w:autoSpaceDN/>
        <w:adjustRightInd/>
        <w:ind w:left="1069"/>
        <w:textAlignment w:val="auto"/>
      </w:pPr>
    </w:p>
    <w:p w:rsidR="007B7DB2" w:rsidRPr="0096630B" w:rsidRDefault="007B7DB2" w:rsidP="007B7DB2">
      <w:pPr>
        <w:numPr>
          <w:ilvl w:val="0"/>
          <w:numId w:val="3"/>
        </w:numPr>
        <w:suppressAutoHyphens w:val="0"/>
        <w:overflowPunct/>
        <w:autoSpaceDE/>
        <w:autoSpaceDN/>
        <w:adjustRightInd/>
        <w:ind w:left="1069"/>
        <w:textAlignment w:val="auto"/>
      </w:pPr>
      <w:r w:rsidRPr="0096630B">
        <w:t xml:space="preserve">avoir réalisé avec succès, en tant qu’entreprise principale, au moins un (01) projet de nature, de complexité technique et financière similaire en volume et en nature durant les </w:t>
      </w:r>
      <w:r>
        <w:t>cinq</w:t>
      </w:r>
      <w:r w:rsidRPr="0096630B">
        <w:t xml:space="preserve"> </w:t>
      </w:r>
      <w:r>
        <w:t xml:space="preserve">(05) </w:t>
      </w:r>
      <w:r w:rsidRPr="0096630B">
        <w:t>dernières années. En cas de groupement, le chef de fil doit répondre à ce critère. Les expériences non attestées par un maître d’ouvrage public ou parapublic ne seront pas prises en considération.</w:t>
      </w:r>
    </w:p>
    <w:p w:rsidR="007B7DB2" w:rsidRPr="0096630B" w:rsidRDefault="007B7DB2" w:rsidP="007B7DB2">
      <w:pPr>
        <w:pStyle w:val="Paragraphedeliste"/>
      </w:pPr>
    </w:p>
    <w:p w:rsidR="007B7DB2" w:rsidRPr="0096630B" w:rsidRDefault="007B7DB2" w:rsidP="007B7DB2">
      <w:pPr>
        <w:numPr>
          <w:ilvl w:val="0"/>
          <w:numId w:val="3"/>
        </w:numPr>
        <w:suppressAutoHyphens w:val="0"/>
        <w:overflowPunct/>
        <w:autoSpaceDE/>
        <w:autoSpaceDN/>
        <w:adjustRightInd/>
        <w:ind w:left="1069"/>
        <w:textAlignment w:val="auto"/>
      </w:pPr>
      <w:r w:rsidRPr="0096630B">
        <w:t>Proposer le personnel d’encadrement suivant</w:t>
      </w:r>
      <w:r>
        <w:t xml:space="preserve"> </w:t>
      </w:r>
      <w:r w:rsidRPr="0096630B">
        <w:t>:</w:t>
      </w:r>
    </w:p>
    <w:p w:rsidR="007B7DB2" w:rsidRPr="0096630B" w:rsidRDefault="007B7DB2" w:rsidP="007B7DB2">
      <w:pPr>
        <w:pStyle w:val="Paragraphedeliste"/>
      </w:pPr>
    </w:p>
    <w:tbl>
      <w:tblPr>
        <w:tblW w:w="9045" w:type="dxa"/>
        <w:tblInd w:w="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551"/>
        <w:gridCol w:w="1142"/>
        <w:gridCol w:w="2226"/>
        <w:gridCol w:w="2168"/>
      </w:tblGrid>
      <w:tr w:rsidR="007B7DB2" w:rsidRPr="0096630B" w:rsidTr="00B84660"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outlineLvl w:val="0"/>
              <w:rPr>
                <w:rStyle w:val="Accentuation"/>
                <w:rFonts w:cs="Times New Roman"/>
                <w:bCs/>
                <w:i w:val="0"/>
              </w:rPr>
            </w:pPr>
            <w:r w:rsidRPr="0096630B">
              <w:rPr>
                <w:rStyle w:val="Accentuation"/>
                <w:rFonts w:cs="Times New Roman"/>
                <w:bCs/>
              </w:rPr>
              <w:t>N° Ordre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outlineLvl w:val="0"/>
              <w:rPr>
                <w:rStyle w:val="Accentuation"/>
                <w:rFonts w:cs="Times New Roman"/>
                <w:bCs/>
                <w:i w:val="0"/>
              </w:rPr>
            </w:pPr>
            <w:r w:rsidRPr="0096630B">
              <w:rPr>
                <w:rStyle w:val="Accentuation"/>
                <w:rFonts w:cs="Times New Roman"/>
                <w:bCs/>
              </w:rPr>
              <w:t>DESIGNATION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outlineLvl w:val="0"/>
              <w:rPr>
                <w:rStyle w:val="Accentuation"/>
                <w:rFonts w:cs="Times New Roman"/>
                <w:bCs/>
                <w:i w:val="0"/>
              </w:rPr>
            </w:pPr>
            <w:proofErr w:type="spellStart"/>
            <w:r w:rsidRPr="0096630B">
              <w:rPr>
                <w:rStyle w:val="Accentuation"/>
                <w:rFonts w:cs="Times New Roman"/>
                <w:bCs/>
              </w:rPr>
              <w:t>Nbre</w:t>
            </w:r>
            <w:proofErr w:type="spellEnd"/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outlineLvl w:val="0"/>
              <w:rPr>
                <w:rStyle w:val="Accentuation"/>
                <w:rFonts w:cs="Times New Roman"/>
                <w:bCs/>
                <w:i w:val="0"/>
                <w:u w:val="single"/>
              </w:rPr>
            </w:pPr>
            <w:r w:rsidRPr="0096630B">
              <w:rPr>
                <w:rStyle w:val="Accentuation"/>
                <w:rFonts w:cs="Times New Roman"/>
                <w:bCs/>
                <w:u w:val="single"/>
              </w:rPr>
              <w:t>QUALIFICATION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outlineLvl w:val="0"/>
              <w:rPr>
                <w:rStyle w:val="Accentuation"/>
                <w:rFonts w:cs="Times New Roman"/>
                <w:bCs/>
                <w:i w:val="0"/>
              </w:rPr>
            </w:pPr>
            <w:r w:rsidRPr="0096630B">
              <w:rPr>
                <w:rStyle w:val="Accentuation"/>
                <w:rFonts w:cs="Times New Roman"/>
                <w:bCs/>
              </w:rPr>
              <w:t>Nombre d’année d’expérience dans le domaine des bâtiments</w:t>
            </w:r>
          </w:p>
        </w:tc>
      </w:tr>
      <w:tr w:rsidR="007B7DB2" w:rsidRPr="0096630B" w:rsidTr="00B84660"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outlineLvl w:val="0"/>
              <w:rPr>
                <w:rStyle w:val="Accentuation"/>
                <w:rFonts w:cs="Times New Roman"/>
                <w:i w:val="0"/>
              </w:rPr>
            </w:pPr>
            <w:r w:rsidRPr="0096630B">
              <w:rPr>
                <w:rStyle w:val="Accentuation"/>
                <w:rFonts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outlineLvl w:val="0"/>
              <w:rPr>
                <w:rStyle w:val="Accentuation"/>
                <w:rFonts w:cs="Times New Roman"/>
                <w:i w:val="0"/>
              </w:rPr>
            </w:pPr>
            <w:r w:rsidRPr="0096630B">
              <w:rPr>
                <w:rFonts w:cs="Times New Roman"/>
                <w:iCs/>
              </w:rPr>
              <w:t>Coordinateurs des travaux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outlineLvl w:val="0"/>
              <w:rPr>
                <w:rStyle w:val="Accentuation"/>
                <w:rFonts w:cs="Times New Roman"/>
                <w:i w:val="0"/>
              </w:rPr>
            </w:pPr>
            <w:r w:rsidRPr="0096630B">
              <w:rPr>
                <w:rStyle w:val="Accentuation"/>
                <w:rFonts w:cs="Times New Roman"/>
              </w:rPr>
              <w:t>1/lot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outlineLvl w:val="0"/>
              <w:rPr>
                <w:rStyle w:val="Accentuation"/>
                <w:rFonts w:cs="Times New Roman"/>
                <w:i w:val="0"/>
                <w:u w:val="single"/>
                <w:rtl/>
              </w:rPr>
            </w:pPr>
            <w:r w:rsidRPr="0096630B">
              <w:rPr>
                <w:rStyle w:val="Accentuation"/>
                <w:rFonts w:cs="Times New Roman"/>
                <w:u w:val="single"/>
              </w:rPr>
              <w:t xml:space="preserve">Ingénieur en GC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outlineLvl w:val="0"/>
              <w:rPr>
                <w:rStyle w:val="Accentuation"/>
                <w:rFonts w:cs="Times New Roman"/>
                <w:i w:val="0"/>
              </w:rPr>
            </w:pPr>
            <w:r w:rsidRPr="0096630B">
              <w:rPr>
                <w:rStyle w:val="Accentuation"/>
                <w:rFonts w:cs="Times New Roman"/>
              </w:rPr>
              <w:t>10 ans</w:t>
            </w:r>
          </w:p>
          <w:p w:rsidR="007B7DB2" w:rsidRPr="0096630B" w:rsidRDefault="007B7DB2" w:rsidP="00B84660">
            <w:pPr>
              <w:jc w:val="center"/>
              <w:outlineLvl w:val="0"/>
              <w:rPr>
                <w:rStyle w:val="Accentuation"/>
                <w:rFonts w:cs="Times New Roman"/>
                <w:i w:val="0"/>
              </w:rPr>
            </w:pPr>
          </w:p>
        </w:tc>
      </w:tr>
      <w:tr w:rsidR="007B7DB2" w:rsidRPr="0096630B" w:rsidTr="00B84660"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outlineLvl w:val="0"/>
              <w:rPr>
                <w:rStyle w:val="Accentuation"/>
                <w:rFonts w:cs="Times New Roman"/>
                <w:i w:val="0"/>
              </w:rPr>
            </w:pPr>
            <w:r w:rsidRPr="0096630B">
              <w:rPr>
                <w:rStyle w:val="Accentuation"/>
                <w:rFonts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outlineLvl w:val="0"/>
              <w:rPr>
                <w:rStyle w:val="Accentuation"/>
                <w:rFonts w:cs="Times New Roman"/>
                <w:i w:val="0"/>
              </w:rPr>
            </w:pPr>
            <w:r w:rsidRPr="0096630B">
              <w:rPr>
                <w:rStyle w:val="Accentuation"/>
                <w:rFonts w:cs="Times New Roman"/>
              </w:rPr>
              <w:t xml:space="preserve">Conducteur des travaux en bâtiment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outlineLvl w:val="0"/>
              <w:rPr>
                <w:rStyle w:val="Accentuation"/>
                <w:rFonts w:cs="Times New Roman"/>
                <w:i w:val="0"/>
              </w:rPr>
            </w:pPr>
            <w:r w:rsidRPr="0096630B">
              <w:rPr>
                <w:rStyle w:val="Accentuation"/>
                <w:rFonts w:cs="Times New Roman"/>
              </w:rPr>
              <w:t>1/site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outlineLvl w:val="0"/>
              <w:rPr>
                <w:rStyle w:val="Accentuation"/>
                <w:rFonts w:cs="Times New Roman"/>
                <w:i w:val="0"/>
                <w:u w:val="single"/>
                <w:rtl/>
              </w:rPr>
            </w:pPr>
            <w:r w:rsidRPr="0096630B">
              <w:rPr>
                <w:rStyle w:val="Accentuation"/>
                <w:rFonts w:cs="Times New Roman"/>
                <w:u w:val="single"/>
              </w:rPr>
              <w:t xml:space="preserve">Technicien supérieur en GC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outlineLvl w:val="0"/>
              <w:rPr>
                <w:rStyle w:val="Accentuation"/>
                <w:rFonts w:cs="Times New Roman"/>
                <w:i w:val="0"/>
              </w:rPr>
            </w:pPr>
            <w:r w:rsidRPr="0096630B">
              <w:rPr>
                <w:rStyle w:val="Accentuation"/>
                <w:rFonts w:cs="Times New Roman"/>
              </w:rPr>
              <w:t>10 ans</w:t>
            </w:r>
          </w:p>
          <w:p w:rsidR="007B7DB2" w:rsidRPr="0096630B" w:rsidRDefault="007B7DB2" w:rsidP="00B84660">
            <w:pPr>
              <w:jc w:val="center"/>
              <w:outlineLvl w:val="0"/>
              <w:rPr>
                <w:rStyle w:val="Accentuation"/>
                <w:rFonts w:cs="Times New Roman"/>
                <w:i w:val="0"/>
              </w:rPr>
            </w:pPr>
          </w:p>
        </w:tc>
      </w:tr>
      <w:tr w:rsidR="007B7DB2" w:rsidRPr="0096630B" w:rsidTr="00B84660">
        <w:trPr>
          <w:trHeight w:val="47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outlineLvl w:val="0"/>
              <w:rPr>
                <w:rStyle w:val="Accentuation"/>
                <w:rFonts w:cs="Times New Roman"/>
                <w:i w:val="0"/>
              </w:rPr>
            </w:pPr>
            <w:r w:rsidRPr="0096630B">
              <w:rPr>
                <w:rStyle w:val="Accentuation"/>
                <w:rFonts w:cs="Times New Roman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outlineLvl w:val="0"/>
              <w:rPr>
                <w:rStyle w:val="Accentuation"/>
                <w:rFonts w:cs="Times New Roman"/>
                <w:i w:val="0"/>
              </w:rPr>
            </w:pPr>
            <w:r w:rsidRPr="0096630B">
              <w:rPr>
                <w:rStyle w:val="Accentuation"/>
                <w:rFonts w:cs="Times New Roman"/>
              </w:rPr>
              <w:t>Electricien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outlineLvl w:val="0"/>
              <w:rPr>
                <w:rStyle w:val="Accentuation"/>
                <w:rFonts w:cs="Times New Roman"/>
                <w:i w:val="0"/>
              </w:rPr>
            </w:pPr>
            <w:r w:rsidRPr="0096630B">
              <w:rPr>
                <w:rStyle w:val="Accentuation"/>
                <w:rFonts w:cs="Times New Roman"/>
              </w:rPr>
              <w:t>1/lot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outlineLvl w:val="0"/>
              <w:rPr>
                <w:rStyle w:val="Accentuation"/>
                <w:rFonts w:cs="Times New Roman"/>
                <w:i w:val="0"/>
                <w:u w:val="single"/>
              </w:rPr>
            </w:pPr>
            <w:r w:rsidRPr="0096630B">
              <w:rPr>
                <w:rStyle w:val="Accentuation"/>
                <w:rFonts w:cs="Times New Roman"/>
                <w:u w:val="single"/>
              </w:rPr>
              <w:t>Technicien supérieur en Electricité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outlineLvl w:val="0"/>
              <w:rPr>
                <w:rStyle w:val="Accentuation"/>
                <w:rFonts w:cs="Times New Roman"/>
                <w:i w:val="0"/>
              </w:rPr>
            </w:pPr>
            <w:r w:rsidRPr="0096630B">
              <w:rPr>
                <w:rStyle w:val="Accentuation"/>
                <w:rFonts w:cs="Times New Roman"/>
              </w:rPr>
              <w:t>10 ans</w:t>
            </w:r>
          </w:p>
        </w:tc>
      </w:tr>
      <w:tr w:rsidR="007B7DB2" w:rsidRPr="0096630B" w:rsidTr="00B84660"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outlineLvl w:val="0"/>
              <w:rPr>
                <w:rStyle w:val="Accentuation"/>
                <w:rFonts w:cs="Times New Roman"/>
                <w:i w:val="0"/>
              </w:rPr>
            </w:pPr>
            <w:r w:rsidRPr="0096630B">
              <w:rPr>
                <w:rStyle w:val="Accentuation"/>
                <w:rFonts w:cs="Times New Roman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outlineLvl w:val="0"/>
              <w:rPr>
                <w:rStyle w:val="Accentuation"/>
                <w:rFonts w:cs="Times New Roman"/>
                <w:i w:val="0"/>
              </w:rPr>
            </w:pPr>
            <w:r w:rsidRPr="0096630B">
              <w:rPr>
                <w:rStyle w:val="Accentuation"/>
                <w:rFonts w:cs="Times New Roman"/>
              </w:rPr>
              <w:t xml:space="preserve">Plomberie Assainissement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outlineLvl w:val="0"/>
              <w:rPr>
                <w:rStyle w:val="Accentuation"/>
                <w:rFonts w:cs="Times New Roman"/>
                <w:i w:val="0"/>
              </w:rPr>
            </w:pPr>
            <w:r w:rsidRPr="0096630B">
              <w:rPr>
                <w:rStyle w:val="Accentuation"/>
                <w:rFonts w:cs="Times New Roman"/>
              </w:rPr>
              <w:t>1/lot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outlineLvl w:val="0"/>
              <w:rPr>
                <w:rStyle w:val="Accentuation"/>
                <w:rFonts w:cs="Times New Roman"/>
                <w:i w:val="0"/>
                <w:u w:val="single"/>
              </w:rPr>
            </w:pPr>
            <w:r w:rsidRPr="0096630B">
              <w:rPr>
                <w:rStyle w:val="Accentuation"/>
                <w:rFonts w:cs="Times New Roman"/>
                <w:u w:val="single"/>
              </w:rPr>
              <w:t>Technicien plomberie Sanitaire et assainissement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outlineLvl w:val="0"/>
              <w:rPr>
                <w:rStyle w:val="Accentuation"/>
                <w:rFonts w:cs="Times New Roman"/>
                <w:i w:val="0"/>
              </w:rPr>
            </w:pPr>
            <w:r w:rsidRPr="0096630B">
              <w:rPr>
                <w:rStyle w:val="Accentuation"/>
                <w:rFonts w:cs="Times New Roman"/>
              </w:rPr>
              <w:t>5 ans</w:t>
            </w:r>
          </w:p>
        </w:tc>
      </w:tr>
      <w:tr w:rsidR="007B7DB2" w:rsidRPr="0096630B" w:rsidTr="00B84660">
        <w:trPr>
          <w:trHeight w:val="85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outlineLvl w:val="0"/>
              <w:rPr>
                <w:rStyle w:val="Accentuation"/>
                <w:rFonts w:cs="Times New Roman"/>
                <w:i w:val="0"/>
              </w:rPr>
            </w:pPr>
            <w:r w:rsidRPr="0096630B">
              <w:rPr>
                <w:rStyle w:val="Accentuation"/>
                <w:rFonts w:cs="Times New Roman"/>
              </w:rPr>
              <w:t>5</w:t>
            </w:r>
          </w:p>
          <w:p w:rsidR="007B7DB2" w:rsidRPr="0096630B" w:rsidRDefault="007B7DB2" w:rsidP="00B84660">
            <w:pPr>
              <w:jc w:val="center"/>
              <w:outlineLvl w:val="0"/>
              <w:rPr>
                <w:rStyle w:val="Accentuation"/>
                <w:rFonts w:cs="Times New Roman"/>
                <w:i w:val="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outlineLvl w:val="0"/>
              <w:rPr>
                <w:rStyle w:val="Accentuation"/>
                <w:rFonts w:cs="Times New Roman"/>
                <w:i w:val="0"/>
              </w:rPr>
            </w:pPr>
            <w:r w:rsidRPr="0096630B">
              <w:rPr>
                <w:rStyle w:val="Accentuation"/>
                <w:rFonts w:cs="Times New Roman"/>
              </w:rPr>
              <w:t>Chef de chantier en bâtiment (GC, lots spéciaux et VRD)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outlineLvl w:val="0"/>
              <w:rPr>
                <w:rStyle w:val="Accentuation"/>
                <w:rFonts w:cs="Times New Roman"/>
                <w:i w:val="0"/>
              </w:rPr>
            </w:pPr>
            <w:r w:rsidRPr="0096630B">
              <w:rPr>
                <w:rStyle w:val="Accentuation"/>
                <w:rFonts w:cs="Times New Roman"/>
              </w:rPr>
              <w:t>1/site</w:t>
            </w:r>
          </w:p>
          <w:p w:rsidR="007B7DB2" w:rsidRPr="0096630B" w:rsidRDefault="007B7DB2" w:rsidP="00B84660">
            <w:pPr>
              <w:outlineLvl w:val="0"/>
              <w:rPr>
                <w:rStyle w:val="Accentuation"/>
                <w:rFonts w:cs="Times New Roman"/>
                <w:i w:val="0"/>
              </w:rPr>
            </w:pPr>
          </w:p>
          <w:p w:rsidR="007B7DB2" w:rsidRPr="0096630B" w:rsidRDefault="007B7DB2" w:rsidP="00B84660">
            <w:pPr>
              <w:outlineLvl w:val="0"/>
              <w:rPr>
                <w:rStyle w:val="Accentuation"/>
                <w:rFonts w:cs="Times New Roman"/>
                <w:i w:val="0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outlineLvl w:val="0"/>
              <w:rPr>
                <w:rStyle w:val="Accentuation"/>
                <w:rFonts w:cs="Times New Roman"/>
                <w:i w:val="0"/>
                <w:u w:val="single"/>
              </w:rPr>
            </w:pPr>
            <w:r w:rsidRPr="0096630B">
              <w:rPr>
                <w:rStyle w:val="Accentuation"/>
                <w:rFonts w:cs="Times New Roman"/>
                <w:u w:val="single"/>
              </w:rPr>
              <w:t xml:space="preserve">Titulaire du diplôme de chef de chantier en GC 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outlineLvl w:val="0"/>
              <w:rPr>
                <w:rStyle w:val="Accentuation"/>
                <w:rFonts w:cs="Times New Roman"/>
                <w:i w:val="0"/>
              </w:rPr>
            </w:pPr>
            <w:r w:rsidRPr="0096630B">
              <w:rPr>
                <w:rStyle w:val="Accentuation"/>
                <w:rFonts w:cs="Times New Roman"/>
              </w:rPr>
              <w:t>10 ans</w:t>
            </w:r>
          </w:p>
        </w:tc>
      </w:tr>
      <w:tr w:rsidR="007B7DB2" w:rsidRPr="0096630B" w:rsidTr="00B84660">
        <w:trPr>
          <w:trHeight w:val="1358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outlineLvl w:val="0"/>
              <w:rPr>
                <w:rStyle w:val="Accentuation"/>
                <w:rFonts w:cs="Times New Roman"/>
                <w:i w:val="0"/>
              </w:rPr>
            </w:pPr>
            <w:r w:rsidRPr="0096630B">
              <w:rPr>
                <w:rStyle w:val="Accentuation"/>
                <w:rFonts w:cs="Times New Roman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left"/>
              <w:outlineLvl w:val="0"/>
              <w:rPr>
                <w:rStyle w:val="Accentuation"/>
                <w:rFonts w:cs="Times New Roman"/>
                <w:i w:val="0"/>
                <w:rtl/>
                <w:lang w:bidi="ar-MA"/>
              </w:rPr>
            </w:pPr>
            <w:r w:rsidRPr="0096630B">
              <w:rPr>
                <w:rStyle w:val="Accentuation"/>
                <w:rFonts w:cs="Times New Roman"/>
              </w:rPr>
              <w:t xml:space="preserve">Brigade Topographique 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outlineLvl w:val="0"/>
              <w:rPr>
                <w:rStyle w:val="Accentuation"/>
                <w:rFonts w:cs="Times New Roman"/>
                <w:i w:val="0"/>
                <w:rtl/>
                <w:lang w:bidi="ar-MA"/>
              </w:rPr>
            </w:pPr>
            <w:r w:rsidRPr="0096630B">
              <w:rPr>
                <w:rStyle w:val="Accentuation"/>
                <w:rFonts w:cs="Times New Roman"/>
              </w:rPr>
              <w:t>1/lot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left"/>
              <w:outlineLvl w:val="0"/>
              <w:rPr>
                <w:rStyle w:val="Accentuation"/>
                <w:rFonts w:cs="Times New Roman"/>
                <w:i w:val="0"/>
              </w:rPr>
            </w:pPr>
            <w:r w:rsidRPr="0096630B">
              <w:rPr>
                <w:rStyle w:val="Accentuation"/>
                <w:rFonts w:cs="Times New Roman"/>
              </w:rPr>
              <w:t xml:space="preserve">Titulaire du diplôme de topographe en bâtiment ou en travaux publics                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outlineLvl w:val="0"/>
              <w:rPr>
                <w:rStyle w:val="Accentuation"/>
                <w:rFonts w:cs="Times New Roman"/>
                <w:i w:val="0"/>
              </w:rPr>
            </w:pPr>
            <w:r w:rsidRPr="0096630B">
              <w:rPr>
                <w:rStyle w:val="Accentuation"/>
                <w:rFonts w:cs="Times New Roman"/>
              </w:rPr>
              <w:t>5 ans</w:t>
            </w:r>
          </w:p>
          <w:p w:rsidR="007B7DB2" w:rsidRPr="0096630B" w:rsidRDefault="007B7DB2" w:rsidP="00B84660">
            <w:pPr>
              <w:jc w:val="center"/>
              <w:outlineLvl w:val="0"/>
              <w:rPr>
                <w:rStyle w:val="Accentuation"/>
                <w:rFonts w:cs="Times New Roman"/>
                <w:i w:val="0"/>
              </w:rPr>
            </w:pPr>
          </w:p>
        </w:tc>
      </w:tr>
    </w:tbl>
    <w:p w:rsidR="007B7DB2" w:rsidRPr="0096630B" w:rsidRDefault="007B7DB2" w:rsidP="007B7DB2">
      <w:pPr>
        <w:suppressAutoHyphens w:val="0"/>
        <w:overflowPunct/>
        <w:autoSpaceDE/>
        <w:autoSpaceDN/>
        <w:adjustRightInd/>
        <w:ind w:left="1069"/>
        <w:textAlignment w:val="auto"/>
      </w:pPr>
      <w:r w:rsidRPr="0096630B">
        <w:t xml:space="preserve"> </w:t>
      </w:r>
    </w:p>
    <w:p w:rsidR="007B7DB2" w:rsidRPr="0096630B" w:rsidRDefault="007B7DB2" w:rsidP="007B7DB2">
      <w:pPr>
        <w:numPr>
          <w:ilvl w:val="0"/>
          <w:numId w:val="3"/>
        </w:numPr>
        <w:suppressAutoHyphens w:val="0"/>
        <w:overflowPunct/>
        <w:autoSpaceDE/>
        <w:autoSpaceDN/>
        <w:adjustRightInd/>
        <w:ind w:left="1069"/>
        <w:textAlignment w:val="auto"/>
      </w:pPr>
      <w:r w:rsidRPr="0096630B">
        <w:lastRenderedPageBreak/>
        <w:t>disposer du matériel minimal demandé pour l’exécution des travaux (en propre, en location ou en leasing) suivant :</w:t>
      </w:r>
    </w:p>
    <w:p w:rsidR="007B7DB2" w:rsidRPr="0096630B" w:rsidRDefault="007B7DB2" w:rsidP="007B7DB2">
      <w:pPr>
        <w:suppressAutoHyphens w:val="0"/>
        <w:overflowPunct/>
        <w:autoSpaceDE/>
        <w:autoSpaceDN/>
        <w:adjustRightInd/>
        <w:ind w:left="1069"/>
        <w:textAlignment w:val="auto"/>
      </w:pPr>
    </w:p>
    <w:tbl>
      <w:tblPr>
        <w:tblW w:w="0" w:type="auto"/>
        <w:jc w:val="center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3"/>
        <w:gridCol w:w="3109"/>
      </w:tblGrid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rFonts w:ascii="Tahoma" w:hAnsi="Tahoma"/>
                <w:i w:val="0"/>
                <w:iCs w:val="0"/>
              </w:rPr>
            </w:pPr>
            <w:r w:rsidRPr="0096630B">
              <w:rPr>
                <w:rStyle w:val="Accentuation"/>
                <w:rFonts w:ascii="Tahoma" w:hAnsi="Tahoma"/>
              </w:rPr>
              <w:t>MATERIEL ET ENGINS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rFonts w:ascii="Tahoma" w:hAnsi="Tahoma"/>
                <w:i w:val="0"/>
                <w:iCs w:val="0"/>
              </w:rPr>
            </w:pPr>
            <w:r w:rsidRPr="0096630B">
              <w:rPr>
                <w:rStyle w:val="Accentuation"/>
                <w:rFonts w:ascii="Tahoma" w:hAnsi="Tahoma"/>
              </w:rPr>
              <w:t>NOMBRE DEMANDE</w:t>
            </w: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7DB2" w:rsidRPr="0096630B" w:rsidRDefault="007B7DB2" w:rsidP="00B84660">
            <w:pPr>
              <w:rPr>
                <w:rStyle w:val="Accentuation"/>
                <w:rFonts w:ascii="Tahoma" w:hAnsi="Tahoma"/>
                <w:i w:val="0"/>
                <w:iCs w:val="0"/>
              </w:rPr>
            </w:pPr>
            <w:r w:rsidRPr="0096630B">
              <w:rPr>
                <w:rStyle w:val="Accentuation"/>
              </w:rPr>
              <w:t xml:space="preserve">Matériel de préparation du béton 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rFonts w:ascii="Tahoma" w:hAnsi="Tahoma"/>
                <w:i w:val="0"/>
                <w:iCs w:val="0"/>
              </w:rPr>
            </w:pP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lowKashida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Bétonnières minimum de 0,5 m</w:t>
            </w:r>
            <w:r w:rsidRPr="0096630B">
              <w:rPr>
                <w:rStyle w:val="Accentuation"/>
                <w:vertAlign w:val="superscript"/>
              </w:rPr>
              <w:t xml:space="preserve">3 </w:t>
            </w:r>
            <w:r w:rsidRPr="0096630B">
              <w:rPr>
                <w:rStyle w:val="Accentuation"/>
              </w:rPr>
              <w:t>pour malaxage du mortier et béton local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2/site</w:t>
            </w: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Compresseurs avec vibreurs.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1/site</w:t>
            </w: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7DB2" w:rsidRPr="0096630B" w:rsidRDefault="007B7DB2" w:rsidP="00B84660">
            <w:pPr>
              <w:jc w:val="lowKashida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Matériel de terrassement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i w:val="0"/>
                <w:iCs w:val="0"/>
              </w:rPr>
            </w:pP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lowKashida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Niveleuse type 14G minimum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1/lot</w:t>
            </w: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lowKashida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Pelles hydrauliques à roues avec différents godets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1/lot</w:t>
            </w: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Marteau piqueur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3/lot</w:t>
            </w: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7DB2" w:rsidRPr="0096630B" w:rsidRDefault="007B7DB2" w:rsidP="00B84660">
            <w:pPr>
              <w:jc w:val="lowKashida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Matériel roulant de chargement et transport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i w:val="0"/>
                <w:iCs w:val="0"/>
              </w:rPr>
            </w:pP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lowKashida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Chargeuses pelleteuses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1/lot</w:t>
            </w: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lowKashida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Camion à bennes pour transport divers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3/lot</w:t>
            </w: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lowKashida"/>
              <w:rPr>
                <w:rStyle w:val="Accentuation"/>
                <w:i w:val="0"/>
                <w:iCs w:val="0"/>
              </w:rPr>
            </w:pPr>
            <w:proofErr w:type="spellStart"/>
            <w:r w:rsidRPr="0096630B">
              <w:rPr>
                <w:rStyle w:val="Accentuation"/>
              </w:rPr>
              <w:t>Camion citerne</w:t>
            </w:r>
            <w:proofErr w:type="spellEnd"/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3/lot</w:t>
            </w: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lowKashida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Camionnette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3/lot</w:t>
            </w: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lowKashida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Grue de véhicule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1/lot</w:t>
            </w: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7DB2" w:rsidRPr="0096630B" w:rsidRDefault="007B7DB2" w:rsidP="00B84660">
            <w:pPr>
              <w:jc w:val="lowKashida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 xml:space="preserve">Matériel de compactage 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i w:val="0"/>
                <w:iCs w:val="0"/>
              </w:rPr>
            </w:pP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lowKashida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Compacteur à main vibrant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3/lot</w:t>
            </w: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7DB2" w:rsidRPr="0096630B" w:rsidRDefault="007B7DB2" w:rsidP="00B84660">
            <w:pPr>
              <w:jc w:val="lowKashida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Matériel de topographie et mesurage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i w:val="0"/>
                <w:iCs w:val="0"/>
              </w:rPr>
            </w:pP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lowKashida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 xml:space="preserve">Station totale avec accessoires 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1/lot</w:t>
            </w: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lowKashida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Niveau automatiques avec mires et accessoires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1/lot</w:t>
            </w: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lowKashida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Chaines de 50m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1/site</w:t>
            </w: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lowKashida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Rubans de 20m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4/site</w:t>
            </w: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7DB2" w:rsidRPr="0096630B" w:rsidRDefault="007B7DB2" w:rsidP="00B84660">
            <w:pPr>
              <w:jc w:val="lowKashida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Matériel divers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i w:val="0"/>
                <w:iCs w:val="0"/>
              </w:rPr>
            </w:pP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Groupe électrogène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1/3sites</w:t>
            </w: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Coupe carreaux électrique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1/site</w:t>
            </w: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Lot Echafaudage fixe et roulant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  <w:rPr>
                <w:rStyle w:val="Accentuation"/>
                <w:i w:val="0"/>
                <w:iCs w:val="0"/>
              </w:rPr>
            </w:pPr>
            <w:r w:rsidRPr="0096630B">
              <w:rPr>
                <w:rStyle w:val="Accentuation"/>
              </w:rPr>
              <w:t>1/site</w:t>
            </w: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r w:rsidRPr="0096630B">
              <w:t>lots de petits matériels de chantier de génie civil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</w:pPr>
            <w:r w:rsidRPr="0096630B">
              <w:t>1/site</w:t>
            </w: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r w:rsidRPr="0096630B">
              <w:t>lots de petits matériels de chantier d’électricité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</w:pPr>
            <w:r w:rsidRPr="0096630B">
              <w:t>1/site</w:t>
            </w:r>
          </w:p>
        </w:tc>
      </w:tr>
      <w:tr w:rsidR="007B7DB2" w:rsidRPr="0096630B" w:rsidTr="00B84660">
        <w:trPr>
          <w:tblCellSpacing w:w="20" w:type="dxa"/>
          <w:jc w:val="center"/>
        </w:trPr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r w:rsidRPr="0096630B">
              <w:t>lots de petits matériels de chantier de plomberie sanitaire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B2" w:rsidRPr="0096630B" w:rsidRDefault="007B7DB2" w:rsidP="00B84660">
            <w:pPr>
              <w:jc w:val="center"/>
            </w:pPr>
            <w:r w:rsidRPr="0096630B">
              <w:t>1/site</w:t>
            </w:r>
          </w:p>
        </w:tc>
      </w:tr>
    </w:tbl>
    <w:p w:rsidR="007B7DB2" w:rsidRPr="0096630B" w:rsidRDefault="007B7DB2" w:rsidP="007B7DB2">
      <w:pPr>
        <w:suppressAutoHyphens w:val="0"/>
        <w:overflowPunct/>
        <w:autoSpaceDE/>
        <w:autoSpaceDN/>
        <w:adjustRightInd/>
        <w:ind w:left="1069"/>
        <w:textAlignment w:val="auto"/>
      </w:pPr>
      <w:r w:rsidRPr="0096630B">
        <w:t xml:space="preserve"> </w:t>
      </w:r>
    </w:p>
    <w:p w:rsidR="007B7DB2" w:rsidRPr="0096630B" w:rsidRDefault="007B7DB2" w:rsidP="007B7DB2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textAlignment w:val="auto"/>
        <w:rPr>
          <w:rFonts w:cs="Times New Roman"/>
        </w:rPr>
      </w:pPr>
      <w:r w:rsidRPr="0096630B">
        <w:rPr>
          <w:rFonts w:cs="Times New Roman"/>
        </w:rPr>
        <w:t>Fournir une attestation bancaire justifiant que le candidat dispose d’une capacité d’autofinancement pour ce marché tel qu’indiqué dans le tableau suivant :</w:t>
      </w:r>
    </w:p>
    <w:tbl>
      <w:tblPr>
        <w:tblW w:w="8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3333"/>
        <w:gridCol w:w="3046"/>
      </w:tblGrid>
      <w:tr w:rsidR="007B7DB2" w:rsidRPr="0096630B" w:rsidTr="00B84660">
        <w:trPr>
          <w:trHeight w:val="30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</w:rPr>
            </w:pPr>
            <w:r w:rsidRPr="0096630B">
              <w:rPr>
                <w:rFonts w:cs="Times New Roman"/>
                <w:sz w:val="22"/>
                <w:szCs w:val="22"/>
              </w:rPr>
              <w:t>Allotissement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</w:rPr>
            </w:pPr>
            <w:r w:rsidRPr="0096630B">
              <w:rPr>
                <w:rFonts w:cs="Times New Roman"/>
                <w:sz w:val="22"/>
                <w:szCs w:val="22"/>
              </w:rPr>
              <w:t>Capacité d’autofinancement exigée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DB2" w:rsidRPr="0096630B" w:rsidRDefault="007B7DB2" w:rsidP="00B84660">
            <w:pPr>
              <w:jc w:val="center"/>
              <w:rPr>
                <w:rFonts w:cs="Times New Roman"/>
              </w:rPr>
            </w:pPr>
            <w:r w:rsidRPr="0096630B">
              <w:rPr>
                <w:rFonts w:cs="Times New Roman"/>
                <w:sz w:val="22"/>
                <w:szCs w:val="22"/>
              </w:rPr>
              <w:t xml:space="preserve">Monnaie </w:t>
            </w:r>
          </w:p>
        </w:tc>
      </w:tr>
      <w:tr w:rsidR="007B7DB2" w:rsidRPr="0096630B" w:rsidTr="00B84660">
        <w:trPr>
          <w:trHeight w:val="395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</w:rPr>
            </w:pPr>
            <w:r w:rsidRPr="0096630B">
              <w:rPr>
                <w:rFonts w:cs="Times New Roman"/>
                <w:sz w:val="22"/>
                <w:szCs w:val="22"/>
              </w:rPr>
              <w:t>Lot 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  <w:b/>
              </w:rPr>
            </w:pPr>
            <w:r w:rsidRPr="0096630B">
              <w:rPr>
                <w:rFonts w:cs="Times New Roman"/>
                <w:b/>
                <w:sz w:val="22"/>
                <w:szCs w:val="22"/>
              </w:rPr>
              <w:t xml:space="preserve">450 000 000 MRO </w:t>
            </w:r>
          </w:p>
          <w:p w:rsidR="007B7DB2" w:rsidRPr="0096630B" w:rsidRDefault="007B7DB2" w:rsidP="00B84660">
            <w:pPr>
              <w:jc w:val="center"/>
              <w:rPr>
                <w:rFonts w:cs="Times New Roman"/>
                <w:b/>
              </w:rPr>
            </w:pPr>
            <w:r w:rsidRPr="0096630B">
              <w:rPr>
                <w:rFonts w:cs="Times New Roman"/>
                <w:b/>
                <w:sz w:val="22"/>
                <w:szCs w:val="22"/>
              </w:rPr>
              <w:t>(Quatre cent Cinquante Millions d’Ouguiya)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DB2" w:rsidRPr="0096630B" w:rsidRDefault="007B7DB2" w:rsidP="00B84660">
            <w:pPr>
              <w:rPr>
                <w:rFonts w:cs="Times New Roman"/>
                <w:b/>
              </w:rPr>
            </w:pPr>
            <w:r w:rsidRPr="0096630B">
              <w:rPr>
                <w:rFonts w:cs="Times New Roman"/>
                <w:b/>
                <w:sz w:val="22"/>
                <w:szCs w:val="22"/>
              </w:rPr>
              <w:t>ou son équivalent en monnaies librement convertibles</w:t>
            </w:r>
          </w:p>
        </w:tc>
      </w:tr>
      <w:tr w:rsidR="007B7DB2" w:rsidRPr="0096630B" w:rsidTr="00B84660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</w:rPr>
            </w:pPr>
            <w:r w:rsidRPr="0096630B">
              <w:rPr>
                <w:rFonts w:cs="Times New Roman"/>
                <w:sz w:val="22"/>
                <w:szCs w:val="22"/>
              </w:rPr>
              <w:t>Lot 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30</w:t>
            </w:r>
            <w:r w:rsidRPr="0096630B">
              <w:rPr>
                <w:rFonts w:cs="Times New Roman"/>
                <w:b/>
                <w:sz w:val="22"/>
                <w:szCs w:val="22"/>
              </w:rPr>
              <w:t xml:space="preserve">0 000 000 MRO </w:t>
            </w:r>
          </w:p>
          <w:p w:rsidR="007B7DB2" w:rsidRPr="0096630B" w:rsidRDefault="007B7DB2" w:rsidP="00B84660">
            <w:pPr>
              <w:jc w:val="center"/>
              <w:rPr>
                <w:rFonts w:cs="Times New Roman"/>
                <w:b/>
              </w:rPr>
            </w:pPr>
            <w:r w:rsidRPr="0096630B">
              <w:rPr>
                <w:rFonts w:cs="Times New Roman"/>
                <w:b/>
                <w:sz w:val="22"/>
                <w:szCs w:val="22"/>
              </w:rPr>
              <w:t>(</w:t>
            </w:r>
            <w:r>
              <w:rPr>
                <w:rFonts w:cs="Times New Roman"/>
                <w:b/>
                <w:sz w:val="22"/>
                <w:szCs w:val="22"/>
              </w:rPr>
              <w:t>Trois</w:t>
            </w:r>
            <w:r w:rsidRPr="0096630B">
              <w:rPr>
                <w:rFonts w:cs="Times New Roman"/>
                <w:b/>
                <w:sz w:val="22"/>
                <w:szCs w:val="22"/>
              </w:rPr>
              <w:t xml:space="preserve"> Cent Millions d’Ouguiya)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DB2" w:rsidRPr="0096630B" w:rsidRDefault="007B7DB2" w:rsidP="00B84660">
            <w:r w:rsidRPr="0096630B">
              <w:rPr>
                <w:rFonts w:cs="Times New Roman"/>
                <w:b/>
                <w:sz w:val="22"/>
                <w:szCs w:val="22"/>
              </w:rPr>
              <w:t>ou son équivalent en monnaies librement convertibles.</w:t>
            </w:r>
          </w:p>
        </w:tc>
      </w:tr>
      <w:tr w:rsidR="007B7DB2" w:rsidRPr="0096630B" w:rsidTr="00B84660">
        <w:trPr>
          <w:trHeight w:val="300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</w:rPr>
            </w:pPr>
            <w:r w:rsidRPr="0096630B">
              <w:rPr>
                <w:rFonts w:cs="Times New Roman"/>
                <w:sz w:val="22"/>
                <w:szCs w:val="22"/>
              </w:rPr>
              <w:lastRenderedPageBreak/>
              <w:t>Lot 3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  <w:b/>
              </w:rPr>
            </w:pPr>
            <w:r w:rsidRPr="0096630B">
              <w:rPr>
                <w:rFonts w:cs="Times New Roman"/>
                <w:b/>
                <w:sz w:val="22"/>
                <w:szCs w:val="22"/>
              </w:rPr>
              <w:t xml:space="preserve">350 000 000 MRO </w:t>
            </w:r>
          </w:p>
          <w:p w:rsidR="007B7DB2" w:rsidRPr="0096630B" w:rsidRDefault="007B7DB2" w:rsidP="00B84660">
            <w:pPr>
              <w:jc w:val="center"/>
              <w:rPr>
                <w:rFonts w:cs="Times New Roman"/>
                <w:b/>
              </w:rPr>
            </w:pPr>
            <w:r w:rsidRPr="0096630B">
              <w:rPr>
                <w:rFonts w:cs="Times New Roman"/>
                <w:b/>
                <w:sz w:val="22"/>
                <w:szCs w:val="22"/>
              </w:rPr>
              <w:t>(Trois Cent Cinquante Millions d’Ouguiya)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DB2" w:rsidRPr="0096630B" w:rsidRDefault="007B7DB2" w:rsidP="00B84660">
            <w:r w:rsidRPr="0096630B">
              <w:rPr>
                <w:rFonts w:cs="Times New Roman"/>
                <w:b/>
                <w:sz w:val="22"/>
                <w:szCs w:val="22"/>
              </w:rPr>
              <w:t>ou son équivalent en monnaies librement convertibles.</w:t>
            </w:r>
          </w:p>
        </w:tc>
      </w:tr>
      <w:tr w:rsidR="007B7DB2" w:rsidRPr="0096630B" w:rsidTr="00B84660">
        <w:trPr>
          <w:trHeight w:val="30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</w:rPr>
            </w:pPr>
            <w:r w:rsidRPr="0096630B">
              <w:rPr>
                <w:rFonts w:cs="Times New Roman"/>
                <w:sz w:val="22"/>
                <w:szCs w:val="22"/>
              </w:rPr>
              <w:t xml:space="preserve">Lot </w:t>
            </w: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40</w:t>
            </w:r>
            <w:r w:rsidRPr="0096630B">
              <w:rPr>
                <w:rFonts w:cs="Times New Roman"/>
                <w:b/>
                <w:sz w:val="22"/>
                <w:szCs w:val="22"/>
              </w:rPr>
              <w:t xml:space="preserve">0 000 000 MRO </w:t>
            </w:r>
          </w:p>
          <w:p w:rsidR="007B7DB2" w:rsidRPr="0096630B" w:rsidRDefault="007B7DB2" w:rsidP="00B84660">
            <w:pPr>
              <w:jc w:val="center"/>
              <w:rPr>
                <w:rFonts w:cs="Times New Roman"/>
                <w:b/>
              </w:rPr>
            </w:pPr>
            <w:r w:rsidRPr="0096630B">
              <w:rPr>
                <w:rFonts w:cs="Times New Roman"/>
                <w:b/>
                <w:sz w:val="22"/>
                <w:szCs w:val="22"/>
              </w:rPr>
              <w:t>(</w:t>
            </w:r>
            <w:r>
              <w:rPr>
                <w:rFonts w:cs="Times New Roman"/>
                <w:b/>
                <w:sz w:val="22"/>
                <w:szCs w:val="22"/>
              </w:rPr>
              <w:t>Quatre</w:t>
            </w:r>
            <w:r w:rsidRPr="0096630B">
              <w:rPr>
                <w:rFonts w:cs="Times New Roman"/>
                <w:b/>
                <w:sz w:val="22"/>
                <w:szCs w:val="22"/>
              </w:rPr>
              <w:t xml:space="preserve"> Cent Millions d’Ouguiya)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DB2" w:rsidRPr="0096630B" w:rsidRDefault="007B7DB2" w:rsidP="00B84660">
            <w:r w:rsidRPr="0096630B">
              <w:rPr>
                <w:rFonts w:cs="Times New Roman"/>
                <w:b/>
                <w:sz w:val="22"/>
                <w:szCs w:val="22"/>
              </w:rPr>
              <w:t>ou son équivalent en monnaies librement convertibles.</w:t>
            </w:r>
          </w:p>
        </w:tc>
      </w:tr>
    </w:tbl>
    <w:p w:rsidR="007B7DB2" w:rsidRPr="0096630B" w:rsidRDefault="007B7DB2" w:rsidP="007B7DB2">
      <w:pPr>
        <w:pStyle w:val="Paragraphedeliste"/>
        <w:tabs>
          <w:tab w:val="left" w:pos="1170"/>
        </w:tabs>
        <w:rPr>
          <w:rFonts w:cs="Times New Roman"/>
        </w:rPr>
      </w:pPr>
      <w:r w:rsidRPr="0096630B">
        <w:rPr>
          <w:rFonts w:cs="Times New Roman"/>
        </w:rPr>
        <w:tab/>
      </w:r>
    </w:p>
    <w:p w:rsidR="007B7DB2" w:rsidRPr="0096630B" w:rsidRDefault="007B7DB2" w:rsidP="007B7DB2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</w:pPr>
      <w:r w:rsidRPr="0096630B">
        <w:t xml:space="preserve">Les candidats intéressés peuvent obtenir un dossier d’Appel complet en formulant une demande écrite à l’adresse mentionnée ci-après : </w:t>
      </w:r>
    </w:p>
    <w:p w:rsidR="007B7DB2" w:rsidRPr="0096630B" w:rsidRDefault="007B7DB2" w:rsidP="007B7DB2">
      <w:pPr>
        <w:suppressAutoHyphens w:val="0"/>
        <w:overflowPunct/>
        <w:autoSpaceDE/>
        <w:autoSpaceDN/>
        <w:adjustRightInd/>
        <w:spacing w:after="200"/>
        <w:jc w:val="center"/>
        <w:textAlignment w:val="auto"/>
      </w:pPr>
      <w:r w:rsidRPr="0096630B">
        <w:rPr>
          <w:b/>
          <w:bCs/>
        </w:rPr>
        <w:t xml:space="preserve">Direction des Projets Education – Formation, Rue 42- 037 TZ Nouakchott – République Islamique de Mauritanie ; Téléphone ; (222) 45 25 20 63 ; (222) 45 29 12 03 &amp; 45 29 12 04, </w:t>
      </w:r>
      <w:r w:rsidRPr="0096630B">
        <w:t xml:space="preserve">contre un paiement non remboursable de </w:t>
      </w:r>
      <w:r w:rsidRPr="0096630B">
        <w:rPr>
          <w:b/>
          <w:bCs/>
          <w:i/>
          <w:iCs/>
        </w:rPr>
        <w:t xml:space="preserve">150 000 MRO </w:t>
      </w:r>
      <w:r w:rsidRPr="0096630B">
        <w:t xml:space="preserve">ou sa contre-valeur en monnaie librement convertible versée au compte bancaire ouvert au nom de la </w:t>
      </w:r>
      <w:r w:rsidRPr="0096630B">
        <w:rPr>
          <w:b/>
        </w:rPr>
        <w:t>DPEF</w:t>
      </w:r>
      <w:r w:rsidRPr="0096630B">
        <w:t xml:space="preserve"> à la  BMCI, Nouakchott,</w:t>
      </w:r>
      <w:r>
        <w:t xml:space="preserve"> </w:t>
      </w:r>
      <w:r w:rsidRPr="0096630B">
        <w:t>dont les coordonnées sont les suivantes :</w:t>
      </w:r>
    </w:p>
    <w:tbl>
      <w:tblPr>
        <w:tblW w:w="8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2369"/>
        <w:gridCol w:w="2596"/>
        <w:gridCol w:w="1307"/>
      </w:tblGrid>
      <w:tr w:rsidR="007B7DB2" w:rsidRPr="0096630B" w:rsidTr="00B84660">
        <w:trPr>
          <w:trHeight w:val="20"/>
        </w:trPr>
        <w:tc>
          <w:tcPr>
            <w:tcW w:w="89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7DB2" w:rsidRPr="0096630B" w:rsidRDefault="007B7DB2" w:rsidP="00B84660">
            <w:pPr>
              <w:jc w:val="center"/>
            </w:pPr>
            <w:r w:rsidRPr="0096630B">
              <w:t xml:space="preserve">BANQUE MAURITANIENNE POUR LE COMMERCE INTERNATIONAL </w:t>
            </w:r>
          </w:p>
        </w:tc>
      </w:tr>
      <w:tr w:rsidR="007B7DB2" w:rsidRPr="0096630B" w:rsidTr="00B84660">
        <w:trPr>
          <w:trHeight w:val="20"/>
        </w:trPr>
        <w:tc>
          <w:tcPr>
            <w:tcW w:w="898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DB2" w:rsidRPr="0096630B" w:rsidRDefault="007B7DB2" w:rsidP="00B84660">
            <w:pPr>
              <w:jc w:val="center"/>
            </w:pPr>
            <w:r w:rsidRPr="0096630B">
              <w:t>Références bancaires</w:t>
            </w:r>
          </w:p>
        </w:tc>
      </w:tr>
      <w:tr w:rsidR="007B7DB2" w:rsidRPr="0096630B" w:rsidTr="00B84660">
        <w:trPr>
          <w:trHeight w:val="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B2" w:rsidRPr="0096630B" w:rsidRDefault="007B7DB2" w:rsidP="00B84660">
            <w:pPr>
              <w:jc w:val="center"/>
              <w:rPr>
                <w:b/>
                <w:bCs/>
              </w:rPr>
            </w:pPr>
            <w:r w:rsidRPr="0096630B">
              <w:rPr>
                <w:b/>
                <w:bCs/>
              </w:rPr>
              <w:t>Code banque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B2" w:rsidRPr="0096630B" w:rsidRDefault="007B7DB2" w:rsidP="00B84660">
            <w:pPr>
              <w:jc w:val="center"/>
              <w:rPr>
                <w:b/>
                <w:bCs/>
              </w:rPr>
            </w:pPr>
            <w:r w:rsidRPr="0096630B">
              <w:rPr>
                <w:b/>
                <w:bCs/>
              </w:rPr>
              <w:t>Code agence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B2" w:rsidRPr="0096630B" w:rsidRDefault="007B7DB2" w:rsidP="00B84660">
            <w:pPr>
              <w:jc w:val="center"/>
              <w:rPr>
                <w:b/>
                <w:bCs/>
              </w:rPr>
            </w:pPr>
            <w:r w:rsidRPr="0096630B">
              <w:rPr>
                <w:b/>
                <w:bCs/>
              </w:rPr>
              <w:t xml:space="preserve">N° du compte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B2" w:rsidRPr="0096630B" w:rsidRDefault="007B7DB2" w:rsidP="00B84660">
            <w:pPr>
              <w:jc w:val="center"/>
              <w:rPr>
                <w:b/>
                <w:bCs/>
              </w:rPr>
            </w:pPr>
            <w:r w:rsidRPr="0096630B">
              <w:rPr>
                <w:b/>
                <w:bCs/>
              </w:rPr>
              <w:t>Clé RIB</w:t>
            </w:r>
          </w:p>
        </w:tc>
      </w:tr>
      <w:tr w:rsidR="007B7DB2" w:rsidRPr="0096630B" w:rsidTr="00B84660">
        <w:trPr>
          <w:trHeight w:val="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B2" w:rsidRPr="0096630B" w:rsidRDefault="007B7DB2" w:rsidP="00B84660">
            <w:pPr>
              <w:jc w:val="center"/>
            </w:pPr>
            <w:r w:rsidRPr="0096630B">
              <w:t>00010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B2" w:rsidRPr="0096630B" w:rsidRDefault="007B7DB2" w:rsidP="00B84660">
            <w:pPr>
              <w:jc w:val="center"/>
            </w:pPr>
            <w:r w:rsidRPr="0096630B">
              <w:t>00001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B2" w:rsidRPr="0096630B" w:rsidRDefault="007B7DB2" w:rsidP="00B84660">
            <w:pPr>
              <w:jc w:val="center"/>
            </w:pPr>
            <w:r w:rsidRPr="0096630B">
              <w:t>01289070181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B2" w:rsidRPr="0096630B" w:rsidRDefault="007B7DB2" w:rsidP="00B84660">
            <w:pPr>
              <w:jc w:val="center"/>
            </w:pPr>
            <w:r w:rsidRPr="0096630B">
              <w:t>79</w:t>
            </w:r>
          </w:p>
        </w:tc>
      </w:tr>
      <w:tr w:rsidR="007B7DB2" w:rsidRPr="0096630B" w:rsidTr="00B84660">
        <w:trPr>
          <w:trHeight w:val="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B2" w:rsidRPr="0096630B" w:rsidRDefault="007B7DB2" w:rsidP="00B84660">
            <w:pPr>
              <w:rPr>
                <w:b/>
                <w:bCs/>
              </w:rPr>
            </w:pPr>
            <w:r w:rsidRPr="0096630B">
              <w:rPr>
                <w:b/>
                <w:bCs/>
              </w:rPr>
              <w:t>Adresse SWIFT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DB2" w:rsidRPr="0096630B" w:rsidRDefault="007B7DB2" w:rsidP="00B84660">
            <w:pPr>
              <w:jc w:val="center"/>
              <w:rPr>
                <w:b/>
                <w:bCs/>
              </w:rPr>
            </w:pPr>
            <w:r w:rsidRPr="0096630B">
              <w:rPr>
                <w:b/>
                <w:bCs/>
              </w:rPr>
              <w:t>MBICMRMRXXX</w:t>
            </w:r>
          </w:p>
        </w:tc>
      </w:tr>
      <w:tr w:rsidR="007B7DB2" w:rsidRPr="0096630B" w:rsidTr="00B84660">
        <w:trPr>
          <w:trHeight w:val="20"/>
        </w:trPr>
        <w:tc>
          <w:tcPr>
            <w:tcW w:w="8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DB2" w:rsidRPr="0096630B" w:rsidRDefault="007B7DB2" w:rsidP="00B84660">
            <w:pPr>
              <w:jc w:val="center"/>
              <w:rPr>
                <w:sz w:val="28"/>
                <w:szCs w:val="28"/>
              </w:rPr>
            </w:pPr>
            <w:proofErr w:type="gramStart"/>
            <w:r w:rsidRPr="0096630B">
              <w:rPr>
                <w:sz w:val="28"/>
                <w:szCs w:val="28"/>
              </w:rPr>
              <w:t>IBAN:</w:t>
            </w:r>
            <w:proofErr w:type="gramEnd"/>
            <w:r w:rsidRPr="0096630B">
              <w:rPr>
                <w:sz w:val="28"/>
                <w:szCs w:val="28"/>
              </w:rPr>
              <w:t xml:space="preserve"> MR 1300010000010128907018179</w:t>
            </w:r>
          </w:p>
        </w:tc>
      </w:tr>
    </w:tbl>
    <w:p w:rsidR="007B7DB2" w:rsidRPr="0096630B" w:rsidRDefault="007B7DB2" w:rsidP="007B7DB2">
      <w:pPr>
        <w:suppressAutoHyphens w:val="0"/>
        <w:overflowPunct/>
        <w:autoSpaceDE/>
        <w:autoSpaceDN/>
        <w:adjustRightInd/>
        <w:spacing w:after="200"/>
        <w:textAlignment w:val="auto"/>
      </w:pPr>
    </w:p>
    <w:p w:rsidR="007B7DB2" w:rsidRPr="0096630B" w:rsidRDefault="007B7DB2" w:rsidP="007B7DB2">
      <w:pPr>
        <w:suppressAutoHyphens w:val="0"/>
        <w:overflowPunct/>
        <w:autoSpaceDE/>
        <w:autoSpaceDN/>
        <w:adjustRightInd/>
        <w:spacing w:after="200"/>
        <w:textAlignment w:val="auto"/>
      </w:pPr>
      <w:r w:rsidRPr="0096630B">
        <w:t>En présentant le récépissé de la banque à la DPEF, le document d’Appel d’offres sera immédiatement remis aux candidats intéressés ou adressé à leurs frais en utilisant le mode d’acheminement qu’ils auraient choisis</w:t>
      </w:r>
      <w:r w:rsidRPr="0096630B">
        <w:rPr>
          <w:i/>
          <w:iCs/>
        </w:rPr>
        <w:t>.</w:t>
      </w:r>
    </w:p>
    <w:p w:rsidR="007B7DB2" w:rsidRPr="0096630B" w:rsidRDefault="007B7DB2" w:rsidP="007B7DB2">
      <w:pPr>
        <w:pStyle w:val="Paragraphedeliste"/>
        <w:numPr>
          <w:ilvl w:val="0"/>
          <w:numId w:val="1"/>
        </w:numPr>
        <w:tabs>
          <w:tab w:val="right" w:pos="7254"/>
        </w:tabs>
        <w:spacing w:after="200"/>
      </w:pPr>
      <w:r w:rsidRPr="0096630B">
        <w:t xml:space="preserve">Les offres devront être rédigées en langue </w:t>
      </w:r>
      <w:r w:rsidRPr="0096630B">
        <w:rPr>
          <w:iCs/>
        </w:rPr>
        <w:t>française</w:t>
      </w:r>
      <w:r w:rsidRPr="0096630B">
        <w:rPr>
          <w:i/>
          <w:iCs/>
        </w:rPr>
        <w:t> </w:t>
      </w:r>
      <w:r w:rsidRPr="0096630B">
        <w:t xml:space="preserve">et devront être déposées à l’adresse indiquée ci-dessous au plus tard le </w:t>
      </w:r>
      <w:r w:rsidRPr="00270A96">
        <w:rPr>
          <w:b/>
        </w:rPr>
        <w:t>mercredi, 6 mai 2015 à 10 H 00 TU</w:t>
      </w:r>
      <w:r w:rsidRPr="0096630B">
        <w:t xml:space="preserve">. Les offres qui ne parviendront pas à l’heure et date ci-dessus indiquées, seront purement et simplement rejetées et retournées aux frais des soumissionnaires concernés sans être ouvertes. </w:t>
      </w:r>
    </w:p>
    <w:p w:rsidR="007B7DB2" w:rsidRPr="0096630B" w:rsidRDefault="007B7DB2" w:rsidP="007B7DB2">
      <w:pPr>
        <w:pStyle w:val="Paragraphedeliste"/>
        <w:numPr>
          <w:ilvl w:val="0"/>
          <w:numId w:val="1"/>
        </w:numPr>
        <w:tabs>
          <w:tab w:val="right" w:pos="7254"/>
        </w:tabs>
        <w:spacing w:after="200"/>
      </w:pPr>
      <w:r w:rsidRPr="0096630B">
        <w:t>L’ouverture des offres se fera en deux temps.</w:t>
      </w:r>
    </w:p>
    <w:p w:rsidR="007B7DB2" w:rsidRPr="0096630B" w:rsidRDefault="007B7DB2" w:rsidP="007B7DB2">
      <w:pPr>
        <w:pStyle w:val="Paragraphedeliste"/>
        <w:numPr>
          <w:ilvl w:val="0"/>
          <w:numId w:val="2"/>
        </w:numPr>
        <w:tabs>
          <w:tab w:val="right" w:pos="7254"/>
        </w:tabs>
        <w:spacing w:after="200"/>
      </w:pPr>
      <w:r w:rsidRPr="0096630B">
        <w:t xml:space="preserve">L’Ouvertures des offres techniques se fera </w:t>
      </w:r>
      <w:r w:rsidRPr="00CC2602">
        <w:t xml:space="preserve">le </w:t>
      </w:r>
      <w:r w:rsidRPr="00270A96">
        <w:rPr>
          <w:b/>
        </w:rPr>
        <w:t>mercredi, 6 mai 2015 à 10 heures 00 TU</w:t>
      </w:r>
      <w:r w:rsidRPr="00CC2602">
        <w:t xml:space="preserve">, en </w:t>
      </w:r>
      <w:r>
        <w:t>présence des représentants des s</w:t>
      </w:r>
      <w:r w:rsidRPr="0096630B">
        <w:t>oumissionnaires qui désirent y assister, à l’adresse</w:t>
      </w:r>
      <w:r>
        <w:t xml:space="preserve"> </w:t>
      </w:r>
      <w:r w:rsidRPr="0096630B">
        <w:t>ci-dessous :</w:t>
      </w:r>
    </w:p>
    <w:p w:rsidR="007B7DB2" w:rsidRPr="0096630B" w:rsidRDefault="007B7DB2" w:rsidP="007B7DB2">
      <w:pPr>
        <w:tabs>
          <w:tab w:val="right" w:pos="7254"/>
        </w:tabs>
        <w:spacing w:after="200"/>
        <w:jc w:val="center"/>
      </w:pPr>
      <w:r w:rsidRPr="0096630B">
        <w:t>Salles de réunion de la commission de passation des marches 2éme étage</w:t>
      </w:r>
    </w:p>
    <w:p w:rsidR="007B7DB2" w:rsidRPr="0096630B" w:rsidRDefault="007B7DB2" w:rsidP="007B7DB2">
      <w:pPr>
        <w:tabs>
          <w:tab w:val="right" w:pos="7254"/>
        </w:tabs>
        <w:spacing w:after="200"/>
        <w:jc w:val="center"/>
        <w:rPr>
          <w:rFonts w:cs="Times New Roman"/>
          <w:sz w:val="22"/>
          <w:szCs w:val="22"/>
        </w:rPr>
      </w:pPr>
      <w:r w:rsidRPr="0096630B">
        <w:rPr>
          <w:rFonts w:cs="Times New Roman"/>
          <w:sz w:val="22"/>
          <w:szCs w:val="22"/>
        </w:rPr>
        <w:t>DIRECTION DES PROJETS EDUCATION /FORMATION</w:t>
      </w:r>
    </w:p>
    <w:p w:rsidR="007B7DB2" w:rsidRPr="0096630B" w:rsidRDefault="007B7DB2" w:rsidP="007B7DB2">
      <w:pPr>
        <w:tabs>
          <w:tab w:val="right" w:pos="7254"/>
        </w:tabs>
        <w:spacing w:after="200"/>
        <w:jc w:val="center"/>
        <w:rPr>
          <w:rFonts w:cs="Times New Roman"/>
        </w:rPr>
      </w:pPr>
      <w:r w:rsidRPr="0096630B">
        <w:rPr>
          <w:rFonts w:cs="Times New Roman"/>
        </w:rPr>
        <w:t>Rue 42 - 037 TZ Nouakchott - Mauritanie</w:t>
      </w:r>
    </w:p>
    <w:p w:rsidR="007B7DB2" w:rsidRPr="0096630B" w:rsidRDefault="007B7DB2" w:rsidP="007B7DB2">
      <w:pPr>
        <w:tabs>
          <w:tab w:val="right" w:pos="7254"/>
        </w:tabs>
        <w:spacing w:after="200"/>
        <w:jc w:val="center"/>
        <w:rPr>
          <w:rFonts w:cs="Times New Roman"/>
        </w:rPr>
      </w:pPr>
      <w:r w:rsidRPr="0096630B">
        <w:rPr>
          <w:rFonts w:cs="Times New Roman"/>
        </w:rPr>
        <w:t>Téléphone : (222) 45 25 20 63 (222) 45 29 12 03</w:t>
      </w:r>
    </w:p>
    <w:p w:rsidR="007B7DB2" w:rsidRPr="0096630B" w:rsidRDefault="007B7DB2" w:rsidP="007B7DB2">
      <w:pPr>
        <w:pStyle w:val="Paragraphedeliste"/>
        <w:numPr>
          <w:ilvl w:val="0"/>
          <w:numId w:val="2"/>
        </w:numPr>
        <w:tabs>
          <w:tab w:val="right" w:pos="7254"/>
        </w:tabs>
        <w:spacing w:after="200"/>
        <w:jc w:val="left"/>
        <w:rPr>
          <w:rFonts w:cs="Times New Roman"/>
        </w:rPr>
      </w:pPr>
      <w:r w:rsidRPr="0096630B">
        <w:rPr>
          <w:rFonts w:cs="Times New Roman"/>
        </w:rPr>
        <w:t>L’ouverture des offres financières pour les soumissionnaires retenus à l’issue de l’évaluation des offres techniques se fera sur convocation de la CPM, en présences des représentants des seuls soumissionnaires désirant assister à l'ouverture.</w:t>
      </w:r>
    </w:p>
    <w:p w:rsidR="007B7DB2" w:rsidRPr="0096630B" w:rsidRDefault="007B7DB2" w:rsidP="007B7DB2">
      <w:pPr>
        <w:pStyle w:val="Paragraphedeliste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textAlignment w:val="auto"/>
        <w:rPr>
          <w:rFonts w:cs="Times New Roman"/>
        </w:rPr>
      </w:pPr>
      <w:r w:rsidRPr="0096630B">
        <w:rPr>
          <w:rFonts w:cs="Times New Roman"/>
        </w:rPr>
        <w:t xml:space="preserve">Les offres doivent comprendre </w:t>
      </w:r>
      <w:r w:rsidRPr="0096630B">
        <w:rPr>
          <w:rFonts w:cs="Times New Roman"/>
          <w:iCs/>
        </w:rPr>
        <w:t>une garantie bancaire de soumission</w:t>
      </w:r>
      <w:r w:rsidRPr="0096630B">
        <w:rPr>
          <w:rFonts w:cs="Times New Roman"/>
        </w:rPr>
        <w:t xml:space="preserve"> tel qu’indiqué dans le tableau suivant, pour chaque lot :</w:t>
      </w:r>
    </w:p>
    <w:tbl>
      <w:tblPr>
        <w:tblW w:w="87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3126"/>
        <w:gridCol w:w="3731"/>
      </w:tblGrid>
      <w:tr w:rsidR="007B7DB2" w:rsidRPr="0096630B" w:rsidTr="00B84660">
        <w:trPr>
          <w:trHeight w:val="306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</w:rPr>
            </w:pPr>
            <w:r w:rsidRPr="0096630B">
              <w:rPr>
                <w:rFonts w:cs="Times New Roman"/>
                <w:sz w:val="22"/>
                <w:szCs w:val="22"/>
              </w:rPr>
              <w:lastRenderedPageBreak/>
              <w:t>Allotissement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</w:rPr>
            </w:pPr>
            <w:r w:rsidRPr="0096630B">
              <w:rPr>
                <w:rFonts w:cs="Times New Roman"/>
                <w:sz w:val="22"/>
                <w:szCs w:val="22"/>
              </w:rPr>
              <w:t>Garantie de soumission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DB2" w:rsidRPr="0096630B" w:rsidRDefault="007B7DB2" w:rsidP="00B84660">
            <w:pPr>
              <w:jc w:val="center"/>
              <w:rPr>
                <w:rFonts w:cs="Times New Roman"/>
              </w:rPr>
            </w:pPr>
            <w:r w:rsidRPr="0096630B">
              <w:rPr>
                <w:rFonts w:cs="Times New Roman"/>
                <w:sz w:val="22"/>
                <w:szCs w:val="22"/>
              </w:rPr>
              <w:t xml:space="preserve">Monnaie </w:t>
            </w:r>
          </w:p>
        </w:tc>
      </w:tr>
      <w:tr w:rsidR="007B7DB2" w:rsidRPr="0096630B" w:rsidTr="00B84660">
        <w:trPr>
          <w:trHeight w:val="306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</w:rPr>
            </w:pPr>
            <w:r w:rsidRPr="0096630B">
              <w:rPr>
                <w:rFonts w:cs="Times New Roman"/>
                <w:sz w:val="22"/>
                <w:szCs w:val="22"/>
              </w:rPr>
              <w:t>Lot 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35</w:t>
            </w:r>
            <w:r w:rsidRPr="0096630B">
              <w:rPr>
                <w:rFonts w:cs="Times New Roman"/>
                <w:b/>
                <w:sz w:val="22"/>
                <w:szCs w:val="22"/>
              </w:rPr>
              <w:t> 000 000 MRO (</w:t>
            </w:r>
            <w:r>
              <w:rPr>
                <w:rFonts w:cs="Times New Roman"/>
                <w:b/>
                <w:sz w:val="22"/>
                <w:szCs w:val="22"/>
              </w:rPr>
              <w:t>Trente-cinq</w:t>
            </w:r>
            <w:r w:rsidRPr="0096630B">
              <w:rPr>
                <w:rFonts w:cs="Times New Roman"/>
                <w:b/>
                <w:sz w:val="22"/>
                <w:szCs w:val="22"/>
              </w:rPr>
              <w:t xml:space="preserve"> Millions d’Ouguiya)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DB2" w:rsidRPr="0096630B" w:rsidRDefault="007B7DB2" w:rsidP="00B84660">
            <w:r w:rsidRPr="0096630B">
              <w:rPr>
                <w:rFonts w:cs="Times New Roman"/>
                <w:b/>
                <w:sz w:val="22"/>
                <w:szCs w:val="22"/>
              </w:rPr>
              <w:t>ou équivalent en monnaies librement convertibles</w:t>
            </w:r>
          </w:p>
        </w:tc>
      </w:tr>
      <w:tr w:rsidR="007B7DB2" w:rsidRPr="0096630B" w:rsidTr="00B84660">
        <w:trPr>
          <w:trHeight w:val="306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</w:rPr>
            </w:pPr>
            <w:r w:rsidRPr="0096630B">
              <w:rPr>
                <w:rFonts w:cs="Times New Roman"/>
                <w:sz w:val="22"/>
                <w:szCs w:val="22"/>
              </w:rPr>
              <w:t>Lot 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  <w:b/>
              </w:rPr>
            </w:pPr>
            <w:r w:rsidRPr="0096630B">
              <w:rPr>
                <w:rFonts w:cs="Times New Roman"/>
                <w:b/>
                <w:sz w:val="22"/>
                <w:szCs w:val="22"/>
              </w:rPr>
              <w:t>25 000 000 MRO (Vingt Cinq Millions d’Ouguiya)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DB2" w:rsidRPr="0096630B" w:rsidRDefault="007B7DB2" w:rsidP="00B84660">
            <w:r w:rsidRPr="0096630B">
              <w:rPr>
                <w:rFonts w:cs="Times New Roman"/>
                <w:b/>
                <w:sz w:val="22"/>
                <w:szCs w:val="22"/>
              </w:rPr>
              <w:t>ou équivalent en monnaies librement convertibles</w:t>
            </w:r>
          </w:p>
        </w:tc>
      </w:tr>
      <w:tr w:rsidR="007B7DB2" w:rsidRPr="0096630B" w:rsidTr="00B84660">
        <w:trPr>
          <w:trHeight w:val="306"/>
          <w:jc w:val="center"/>
        </w:trPr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</w:rPr>
            </w:pPr>
            <w:r w:rsidRPr="0096630B">
              <w:rPr>
                <w:rFonts w:cs="Times New Roman"/>
                <w:sz w:val="22"/>
                <w:szCs w:val="22"/>
              </w:rPr>
              <w:t>Lot 3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  <w:b/>
              </w:rPr>
            </w:pPr>
            <w:r w:rsidRPr="0096630B">
              <w:rPr>
                <w:rFonts w:cs="Times New Roman"/>
                <w:b/>
                <w:sz w:val="22"/>
                <w:szCs w:val="22"/>
              </w:rPr>
              <w:t>30 000 000 MRO (Trente Millions d’Ouguiya)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DB2" w:rsidRPr="0096630B" w:rsidRDefault="007B7DB2" w:rsidP="00B84660">
            <w:r w:rsidRPr="0096630B">
              <w:rPr>
                <w:rFonts w:cs="Times New Roman"/>
                <w:b/>
                <w:sz w:val="22"/>
                <w:szCs w:val="22"/>
              </w:rPr>
              <w:t>ou équivalent en monnaies librement convertibles</w:t>
            </w:r>
          </w:p>
        </w:tc>
      </w:tr>
      <w:tr w:rsidR="007B7DB2" w:rsidRPr="0096630B" w:rsidTr="00B84660">
        <w:trPr>
          <w:trHeight w:val="306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</w:rPr>
            </w:pPr>
            <w:r w:rsidRPr="0096630B">
              <w:rPr>
                <w:rFonts w:cs="Times New Roman"/>
                <w:sz w:val="22"/>
                <w:szCs w:val="22"/>
              </w:rPr>
              <w:t xml:space="preserve">Lot </w:t>
            </w: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2" w:rsidRPr="0096630B" w:rsidRDefault="007B7DB2" w:rsidP="00B84660">
            <w:pPr>
              <w:jc w:val="center"/>
              <w:rPr>
                <w:rFonts w:cs="Times New Roman"/>
                <w:b/>
              </w:rPr>
            </w:pPr>
            <w:r w:rsidRPr="0096630B">
              <w:rPr>
                <w:rFonts w:cs="Times New Roman"/>
                <w:b/>
                <w:sz w:val="22"/>
                <w:szCs w:val="22"/>
              </w:rPr>
              <w:t>30 000 000 MRO (Trente Millions d’Ouguiya)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DB2" w:rsidRPr="0096630B" w:rsidRDefault="007B7DB2" w:rsidP="00B84660">
            <w:r w:rsidRPr="0096630B">
              <w:rPr>
                <w:rFonts w:cs="Times New Roman"/>
                <w:b/>
                <w:sz w:val="22"/>
                <w:szCs w:val="22"/>
              </w:rPr>
              <w:t>ou équivalent en monnaies librement convertibles</w:t>
            </w:r>
          </w:p>
        </w:tc>
      </w:tr>
    </w:tbl>
    <w:p w:rsidR="007B7DB2" w:rsidRDefault="007B7DB2" w:rsidP="007B7DB2">
      <w:pPr>
        <w:pStyle w:val="Paragraphedeliste"/>
        <w:tabs>
          <w:tab w:val="right" w:pos="7254"/>
        </w:tabs>
        <w:suppressAutoHyphens w:val="0"/>
        <w:overflowPunct/>
        <w:autoSpaceDE/>
        <w:autoSpaceDN/>
        <w:adjustRightInd/>
        <w:spacing w:before="120" w:after="200"/>
        <w:ind w:left="720"/>
        <w:contextualSpacing/>
        <w:textAlignment w:val="auto"/>
      </w:pPr>
    </w:p>
    <w:p w:rsidR="007B7DB2" w:rsidRPr="0096630B" w:rsidRDefault="007B7DB2" w:rsidP="007B7DB2">
      <w:pPr>
        <w:pStyle w:val="Paragraphedeliste"/>
        <w:numPr>
          <w:ilvl w:val="0"/>
          <w:numId w:val="1"/>
        </w:numPr>
        <w:tabs>
          <w:tab w:val="right" w:pos="7254"/>
        </w:tabs>
        <w:suppressAutoHyphens w:val="0"/>
        <w:overflowPunct/>
        <w:autoSpaceDE/>
        <w:autoSpaceDN/>
        <w:adjustRightInd/>
        <w:spacing w:before="120" w:after="200"/>
        <w:contextualSpacing/>
        <w:textAlignment w:val="auto"/>
      </w:pPr>
      <w:r w:rsidRPr="0096630B">
        <w:t>Les montants des offres doivent être calculés en hors impôts, droits et taxes avec une offre fiscale prise en charge par l’Etat sous forme de Crédit d’Impôt calculée séparément.</w:t>
      </w:r>
    </w:p>
    <w:p w:rsidR="007B7DB2" w:rsidRPr="0096630B" w:rsidRDefault="007B7DB2" w:rsidP="007B7DB2">
      <w:pPr>
        <w:pStyle w:val="Paragraphedeliste"/>
        <w:numPr>
          <w:ilvl w:val="0"/>
          <w:numId w:val="1"/>
        </w:numPr>
        <w:tabs>
          <w:tab w:val="right" w:pos="7254"/>
        </w:tabs>
        <w:suppressAutoHyphens w:val="0"/>
        <w:overflowPunct/>
        <w:autoSpaceDE/>
        <w:autoSpaceDN/>
        <w:adjustRightInd/>
        <w:spacing w:before="120" w:after="200"/>
        <w:contextualSpacing/>
        <w:textAlignment w:val="auto"/>
      </w:pPr>
      <w:r w:rsidRPr="0096630B">
        <w:t>Les offres devront demeurer valides pendant une durée de 90 jours, à compter de la date limite de dépôt des offres.</w:t>
      </w:r>
    </w:p>
    <w:p w:rsidR="007B7DB2" w:rsidRPr="0096630B" w:rsidRDefault="007B7DB2" w:rsidP="007B7DB2">
      <w:pPr>
        <w:suppressAutoHyphens w:val="0"/>
        <w:overflowPunct/>
        <w:autoSpaceDE/>
        <w:autoSpaceDN/>
        <w:adjustRightInd/>
        <w:jc w:val="right"/>
        <w:textAlignment w:val="auto"/>
      </w:pPr>
      <w:r w:rsidRPr="0096630B">
        <w:t xml:space="preserve">Le Directeur des Projets </w:t>
      </w:r>
    </w:p>
    <w:p w:rsidR="007B7DB2" w:rsidRDefault="007B7DB2" w:rsidP="007B7DB2">
      <w:pPr>
        <w:suppressAutoHyphens w:val="0"/>
        <w:overflowPunct/>
        <w:autoSpaceDE/>
        <w:autoSpaceDN/>
        <w:adjustRightInd/>
        <w:jc w:val="right"/>
        <w:textAlignment w:val="auto"/>
        <w:rPr>
          <w:rtl/>
          <w:lang w:val="en-US"/>
        </w:rPr>
      </w:pPr>
      <w:r w:rsidRPr="00B1775B">
        <w:t>Education &amp; Formation</w:t>
      </w:r>
    </w:p>
    <w:p w:rsidR="007B7DB2" w:rsidRPr="00B1775B" w:rsidRDefault="007B7DB2" w:rsidP="007B7DB2">
      <w:pPr>
        <w:suppressAutoHyphens w:val="0"/>
        <w:overflowPunct/>
        <w:autoSpaceDE/>
        <w:autoSpaceDN/>
        <w:adjustRightInd/>
        <w:jc w:val="right"/>
        <w:textAlignment w:val="auto"/>
      </w:pPr>
    </w:p>
    <w:p w:rsidR="007B7DB2" w:rsidRPr="00D92F36" w:rsidRDefault="007B7DB2" w:rsidP="007B7DB2">
      <w:pPr>
        <w:jc w:val="right"/>
        <w:rPr>
          <w:rtl/>
          <w:lang w:val="en-US"/>
        </w:rPr>
      </w:pPr>
      <w:r w:rsidRPr="00D92F36">
        <w:t>Ahmed Mohamed Kane</w:t>
      </w:r>
    </w:p>
    <w:p w:rsidR="00EE4287" w:rsidRDefault="007B7DB2"/>
    <w:sectPr w:rsidR="00EE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00228"/>
    <w:multiLevelType w:val="hybridMultilevel"/>
    <w:tmpl w:val="23CE0B9C"/>
    <w:lvl w:ilvl="0" w:tplc="8E9454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B09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4ED1FA5"/>
    <w:multiLevelType w:val="multilevel"/>
    <w:tmpl w:val="FDCC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F0"/>
    <w:rsid w:val="001A72DD"/>
    <w:rsid w:val="005468F0"/>
    <w:rsid w:val="007B7DB2"/>
    <w:rsid w:val="008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62539-08B9-4D1F-916B-439BD667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DB2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7B7DB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7DB2"/>
    <w:pPr>
      <w:ind w:left="708"/>
    </w:pPr>
  </w:style>
  <w:style w:type="character" w:styleId="Accentuation">
    <w:name w:val="Emphasis"/>
    <w:uiPriority w:val="20"/>
    <w:qFormat/>
    <w:rsid w:val="007B7DB2"/>
    <w:rPr>
      <w:i/>
      <w:iCs/>
    </w:rPr>
  </w:style>
  <w:style w:type="paragraph" w:customStyle="1" w:styleId="Sections">
    <w:name w:val="Sections"/>
    <w:basedOn w:val="Sous-titre"/>
    <w:qFormat/>
    <w:rsid w:val="007B7DB2"/>
    <w:pPr>
      <w:suppressAutoHyphens w:val="0"/>
      <w:overflowPunct/>
      <w:autoSpaceDE/>
      <w:autoSpaceDN/>
      <w:adjustRightInd/>
      <w:spacing w:after="0"/>
      <w:jc w:val="left"/>
      <w:textAlignment w:val="auto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B7DB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7B7DB2"/>
    <w:rPr>
      <w:rFonts w:eastAsiaTheme="minorEastAsia"/>
      <w:color w:val="5A5A5A" w:themeColor="text1" w:themeTint="A5"/>
      <w:spacing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m@dpef.mr" TargetMode="External"/><Relationship Id="rId5" Type="http://schemas.openxmlformats.org/officeDocument/2006/relationships/hyperlink" Target="http://www.pmd.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1589</Words>
  <Characters>8743</Characters>
  <Application>Microsoft Office Word</Application>
  <DocSecurity>0</DocSecurity>
  <Lines>72</Lines>
  <Paragraphs>20</Paragraphs>
  <ScaleCrop>false</ScaleCrop>
  <Company/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abdellahiba</dc:creator>
  <cp:keywords/>
  <dc:description/>
  <cp:lastModifiedBy>abdellahiba</cp:lastModifiedBy>
  <cp:revision>3</cp:revision>
  <dcterms:created xsi:type="dcterms:W3CDTF">2015-03-19T08:31:00Z</dcterms:created>
  <dcterms:modified xsi:type="dcterms:W3CDTF">2015-03-19T08:31:00Z</dcterms:modified>
</cp:coreProperties>
</file>